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8162A" w14:textId="24272D6D" w:rsidR="00ED6CA8" w:rsidRDefault="00ED6CA8" w:rsidP="005A01A8">
      <w:pPr>
        <w:pStyle w:val="Title"/>
        <w:rPr>
          <w:color w:val="000000"/>
          <w:lang w:val="en-CA"/>
        </w:rPr>
      </w:pPr>
      <w:r>
        <w:rPr>
          <w:noProof/>
          <w:color w:val="000000"/>
          <w:lang w:eastAsia="fr-CA"/>
        </w:rPr>
        <mc:AlternateContent>
          <mc:Choice Requires="wps">
            <w:drawing>
              <wp:anchor distT="0" distB="0" distL="114300" distR="114300" simplePos="0" relativeHeight="251662336" behindDoc="0" locked="0" layoutInCell="1" allowOverlap="1" wp14:anchorId="0E06745C" wp14:editId="68847BC6">
                <wp:simplePos x="0" y="0"/>
                <wp:positionH relativeFrom="column">
                  <wp:posOffset>2324100</wp:posOffset>
                </wp:positionH>
                <wp:positionV relativeFrom="paragraph">
                  <wp:posOffset>-361950</wp:posOffset>
                </wp:positionV>
                <wp:extent cx="2371725" cy="6191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371725" cy="619125"/>
                        </a:xfrm>
                        <a:prstGeom prst="rect">
                          <a:avLst/>
                        </a:prstGeom>
                        <a:solidFill>
                          <a:schemeClr val="lt1"/>
                        </a:solidFill>
                        <a:ln w="6350">
                          <a:noFill/>
                        </a:ln>
                      </wps:spPr>
                      <wps:txbx>
                        <w:txbxContent>
                          <w:p w14:paraId="0A2D4B40" w14:textId="260DA0FA" w:rsidR="00ED6CA8" w:rsidRDefault="00ED6CA8" w:rsidP="00ED6CA8">
                            <w:pPr>
                              <w:jc w:val="center"/>
                            </w:pPr>
                            <w:r>
                              <w:rPr>
                                <w:noProof/>
                                <w:lang w:eastAsia="fr-CA"/>
                              </w:rPr>
                              <w:drawing>
                                <wp:inline distT="0" distB="0" distL="0" distR="0" wp14:anchorId="73E551B6" wp14:editId="3F7CAA7A">
                                  <wp:extent cx="1307465" cy="52133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07465" cy="5213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06745C" id="_x0000_t202" coordsize="21600,21600" o:spt="202" path="m,l,21600r21600,l21600,xe">
                <v:stroke joinstyle="miter"/>
                <v:path gradientshapeok="t" o:connecttype="rect"/>
              </v:shapetype>
              <v:shape id="Text Box 5" o:spid="_x0000_s1026" type="#_x0000_t202" style="position:absolute;left:0;text-align:left;margin-left:183pt;margin-top:-28.5pt;width:186.75pt;height:48.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gLAIAAFQEAAAOAAAAZHJzL2Uyb0RvYy54bWysVEtv2zAMvg/YfxB0bxynSbMacYosRYYB&#10;QVsgHXpWZCk2IIuapMTOfv0o2Xms22noRSZF6uPro2cPba3IQVhXgc5pOhhSIjSHotK7nP54Xd18&#10;ocR5pgumQIucHoWjD/PPn2aNycQISlCFsARBtMsak9PSe5MlieOlqJkbgBEajRJszTyqdpcUljWI&#10;XqtkNBzeJQ3Ywljgwjm8feyMdB7xpRTcP0vphCcqp5ibj6eN5zacyXzGsp1lpqx4nwb7jyxqVmkM&#10;eoZ6ZJ6Rva3+gqorbsGB9AMOdQJSVlzEGrCadPiumk3JjIi1YHOcObfJfRwsfzpszIslvv0KLQ4w&#10;NKQxLnN4Gepppa3DFzMlaMcWHs9tE60nHC9Ht9N0OppQwtF2l96nKCNMcnltrPPfBNQkCDm1OJbY&#10;LXZYO9+5nlxCMAeqKlaVUlEJVBBLZcmB4RCVjzki+B9eSpMGg99OhhFYQ3jeISuNuVxqCpJvt21f&#10;6BaKI9ZvoaOGM3xVYZJr5vwLs8gFLBn57Z/xkAowCPQSJSXYX/+6D/44IrRS0iC3cup+7pkVlKjv&#10;God3n47HgYxRGU+mI1TstWV7bdH7eglYeYqbZHgUg79XJ1FaqN9wDRYhKpqY5hg7p/4kLn3HeFwj&#10;LhaL6IT0M8yv9cbwAB06HUbw2r4xa/o5eZzwE5xYyLJ34+p8w0sNi70HWcVZhgZ3Xe37jtSNbOjX&#10;LOzGtR69Lj+D+W8AAAD//wMAUEsDBBQABgAIAAAAIQBkWRQd4QAAAAoBAAAPAAAAZHJzL2Rvd25y&#10;ZXYueG1sTI/NToRAEITvJr7DpE28mN1BEVBk2BijbuLNxZ94m2VaIDI9hJkFfHvbk96qU5Xqr4rN&#10;Ynsx4eg7RwrO1xEIpNqZjhoFL9XD6gqED5qM7h2hgm/0sCmPjwqdGzfTM0670AguIZ9rBW0IQy6l&#10;r1u02q/dgMTepxutDnyOjTSjnrnc9vIiilJpdUf8odUD3rVYf+0OVsHHWfP+5JfH1zlO4uF+O1XZ&#10;m6mUOj1Zbm9ABFzCXxh+8RkdSmbauwMZL3oFcZrylqBglWQsOJHF1wmIvYLLKAFZFvL/hPIHAAD/&#10;/wMAUEsBAi0AFAAGAAgAAAAhALaDOJL+AAAA4QEAABMAAAAAAAAAAAAAAAAAAAAAAFtDb250ZW50&#10;X1R5cGVzXS54bWxQSwECLQAUAAYACAAAACEAOP0h/9YAAACUAQAACwAAAAAAAAAAAAAAAAAvAQAA&#10;X3JlbHMvLnJlbHNQSwECLQAUAAYACAAAACEAvnuYoCwCAABUBAAADgAAAAAAAAAAAAAAAAAuAgAA&#10;ZHJzL2Uyb0RvYy54bWxQSwECLQAUAAYACAAAACEAZFkUHeEAAAAKAQAADwAAAAAAAAAAAAAAAACG&#10;BAAAZHJzL2Rvd25yZXYueG1sUEsFBgAAAAAEAAQA8wAAAJQFAAAAAA==&#10;" fillcolor="white [3201]" stroked="f" strokeweight=".5pt">
                <v:textbox>
                  <w:txbxContent>
                    <w:p w14:paraId="0A2D4B40" w14:textId="260DA0FA" w:rsidR="00ED6CA8" w:rsidRDefault="00ED6CA8" w:rsidP="00ED6CA8">
                      <w:pPr>
                        <w:jc w:val="center"/>
                      </w:pPr>
                      <w:r>
                        <w:rPr>
                          <w:noProof/>
                          <w:lang w:eastAsia="fr-CA"/>
                        </w:rPr>
                        <w:drawing>
                          <wp:inline distT="0" distB="0" distL="0" distR="0" wp14:anchorId="73E551B6" wp14:editId="3F7CAA7A">
                            <wp:extent cx="1307465" cy="52133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07465" cy="521335"/>
                                    </a:xfrm>
                                    <a:prstGeom prst="rect">
                                      <a:avLst/>
                                    </a:prstGeom>
                                  </pic:spPr>
                                </pic:pic>
                              </a:graphicData>
                            </a:graphic>
                          </wp:inline>
                        </w:drawing>
                      </w:r>
                    </w:p>
                  </w:txbxContent>
                </v:textbox>
              </v:shape>
            </w:pict>
          </mc:Fallback>
        </mc:AlternateContent>
      </w:r>
    </w:p>
    <w:p w14:paraId="0200C618" w14:textId="77777777" w:rsidR="00ED6CA8" w:rsidRDefault="00ED6CA8" w:rsidP="005A01A8">
      <w:pPr>
        <w:pStyle w:val="Title"/>
        <w:rPr>
          <w:color w:val="000000"/>
          <w:lang w:val="en-CA"/>
        </w:rPr>
      </w:pPr>
    </w:p>
    <w:p w14:paraId="229564BA" w14:textId="56A2C163" w:rsidR="001A3A3E" w:rsidRDefault="005A01A8" w:rsidP="00D27CD1">
      <w:pPr>
        <w:pStyle w:val="Title"/>
        <w:ind w:left="0" w:right="0" w:firstLine="0"/>
        <w:jc w:val="center"/>
        <w:rPr>
          <w:color w:val="000000"/>
          <w:lang w:val="en-CA"/>
        </w:rPr>
      </w:pPr>
      <w:r w:rsidRPr="00A83CE0">
        <w:rPr>
          <w:color w:val="000000"/>
          <w:lang w:val="en-CA"/>
        </w:rPr>
        <w:t xml:space="preserve">INTERFOR CORPORATION, </w:t>
      </w:r>
      <w:r w:rsidR="004765AB">
        <w:rPr>
          <w:color w:val="000000"/>
          <w:lang w:val="en-CA"/>
        </w:rPr>
        <w:t xml:space="preserve">INTERFOR EST LTÉE, EACOM TIMBER CORPORATION, </w:t>
      </w:r>
      <w:r w:rsidRPr="00A83CE0">
        <w:rPr>
          <w:color w:val="000000"/>
          <w:lang w:val="en-CA"/>
        </w:rPr>
        <w:t>INTERFOR U.S. INC.</w:t>
      </w:r>
      <w:r w:rsidR="009809E5">
        <w:rPr>
          <w:color w:val="000000"/>
          <w:lang w:val="en-CA"/>
        </w:rPr>
        <w:t xml:space="preserve">, INTERFOR JAPAN LTD., </w:t>
      </w:r>
      <w:r w:rsidR="00577A90">
        <w:rPr>
          <w:color w:val="000000"/>
          <w:lang w:val="en-CA"/>
        </w:rPr>
        <w:t>ET</w:t>
      </w:r>
      <w:r w:rsidR="001A3A3E">
        <w:rPr>
          <w:color w:val="000000"/>
          <w:lang w:val="en-CA"/>
        </w:rPr>
        <w:t xml:space="preserve"> </w:t>
      </w:r>
    </w:p>
    <w:p w14:paraId="6C3266AD" w14:textId="0A4CCA72" w:rsidR="005A01A8" w:rsidRPr="00EC2790" w:rsidRDefault="005A01A8" w:rsidP="004765AB">
      <w:pPr>
        <w:pStyle w:val="Title"/>
        <w:ind w:left="0" w:right="0" w:firstLine="0"/>
        <w:jc w:val="center"/>
        <w:rPr>
          <w:color w:val="000000"/>
        </w:rPr>
        <w:sectPr w:rsidR="005A01A8" w:rsidRPr="00EC2790" w:rsidSect="008101F6">
          <w:footerReference w:type="default" r:id="rId15"/>
          <w:pgSz w:w="12240" w:h="15840"/>
          <w:pgMar w:top="720" w:right="720" w:bottom="720" w:left="720" w:header="964" w:footer="1077" w:gutter="0"/>
          <w:cols w:space="708"/>
          <w:docGrid w:linePitch="360"/>
        </w:sectPr>
      </w:pPr>
      <w:r w:rsidRPr="004765AB">
        <w:rPr>
          <w:color w:val="000000"/>
        </w:rPr>
        <w:t xml:space="preserve">INTERFOR </w:t>
      </w:r>
      <w:r w:rsidR="00E47361" w:rsidRPr="004765AB">
        <w:rPr>
          <w:color w:val="000000"/>
        </w:rPr>
        <w:t>SAL</w:t>
      </w:r>
      <w:r w:rsidRPr="004765AB">
        <w:rPr>
          <w:color w:val="000000"/>
        </w:rPr>
        <w:t xml:space="preserve">ES &amp; MARKETING LTD. </w:t>
      </w:r>
      <w:r w:rsidR="009809E5" w:rsidRPr="004765AB">
        <w:rPr>
          <w:color w:val="000000"/>
        </w:rPr>
        <w:br/>
      </w:r>
      <w:r w:rsidRPr="00A83CE0">
        <w:rPr>
          <w:color w:val="000000"/>
        </w:rPr>
        <w:t xml:space="preserve">CONDITIONS </w:t>
      </w:r>
      <w:r w:rsidR="00E47361">
        <w:rPr>
          <w:color w:val="000000"/>
        </w:rPr>
        <w:t xml:space="preserve">GÉNÉRALES </w:t>
      </w:r>
      <w:r w:rsidRPr="00A83CE0">
        <w:rPr>
          <w:color w:val="000000"/>
        </w:rPr>
        <w:t xml:space="preserve">DE VENTE DES PRODUITS </w:t>
      </w:r>
      <w:r w:rsidR="000F2BBC">
        <w:rPr>
          <w:color w:val="000000"/>
        </w:rPr>
        <w:t xml:space="preserve">DE </w:t>
      </w:r>
      <w:r w:rsidRPr="00A83CE0">
        <w:rPr>
          <w:color w:val="000000"/>
        </w:rPr>
        <w:t xml:space="preserve">BOIS </w:t>
      </w:r>
      <w:r w:rsidR="000F2BBC">
        <w:rPr>
          <w:color w:val="000000"/>
        </w:rPr>
        <w:t xml:space="preserve">D’ŒUVRE </w:t>
      </w:r>
      <w:r w:rsidRPr="00A83CE0">
        <w:rPr>
          <w:color w:val="000000"/>
        </w:rPr>
        <w:t>(AMÉRIQUE DU NORD ET EXPORTATION</w:t>
      </w:r>
      <w:r w:rsidR="00837C8E">
        <w:rPr>
          <w:color w:val="000000"/>
        </w:rPr>
        <w:t>)</w:t>
      </w:r>
    </w:p>
    <w:p w14:paraId="496AFB59" w14:textId="77777777" w:rsidR="005A01A8" w:rsidRPr="00A83CE0" w:rsidRDefault="005A01A8" w:rsidP="005A01A8">
      <w:pPr>
        <w:pStyle w:val="Title"/>
        <w:rPr>
          <w:color w:val="000000"/>
        </w:rPr>
      </w:pPr>
    </w:p>
    <w:p w14:paraId="16A06DA8" w14:textId="77777777" w:rsidR="005A01A8" w:rsidRPr="00A83CE0" w:rsidRDefault="005A01A8" w:rsidP="005A01A8">
      <w:pPr>
        <w:pStyle w:val="ListParagraph"/>
        <w:numPr>
          <w:ilvl w:val="0"/>
          <w:numId w:val="2"/>
        </w:numPr>
        <w:tabs>
          <w:tab w:val="left" w:pos="651"/>
          <w:tab w:val="left" w:pos="652"/>
        </w:tabs>
        <w:rPr>
          <w:b/>
          <w:color w:val="000000"/>
          <w:sz w:val="12"/>
          <w:szCs w:val="12"/>
        </w:rPr>
        <w:sectPr w:rsidR="005A01A8" w:rsidRPr="00A83CE0" w:rsidSect="005A01A8">
          <w:type w:val="continuous"/>
          <w:pgSz w:w="12240" w:h="15840"/>
          <w:pgMar w:top="720" w:right="720" w:bottom="720" w:left="720" w:header="708" w:footer="708" w:gutter="0"/>
          <w:cols w:space="708"/>
          <w:docGrid w:linePitch="360"/>
        </w:sectPr>
      </w:pPr>
    </w:p>
    <w:p w14:paraId="2EB229F7" w14:textId="7B2E592A" w:rsidR="005A01A8" w:rsidRPr="00A83CE0" w:rsidRDefault="005A01A8" w:rsidP="00286AE7">
      <w:pPr>
        <w:pStyle w:val="ListParagraph"/>
        <w:numPr>
          <w:ilvl w:val="0"/>
          <w:numId w:val="2"/>
        </w:numPr>
        <w:tabs>
          <w:tab w:val="left" w:pos="651"/>
          <w:tab w:val="left" w:pos="652"/>
        </w:tabs>
        <w:spacing w:after="120"/>
        <w:ind w:left="113" w:right="40"/>
        <w:rPr>
          <w:sz w:val="12"/>
          <w:szCs w:val="12"/>
        </w:rPr>
      </w:pPr>
      <w:r w:rsidRPr="00A83CE0">
        <w:rPr>
          <w:b/>
          <w:color w:val="000000"/>
          <w:sz w:val="12"/>
          <w:szCs w:val="12"/>
        </w:rPr>
        <w:t>INTÉGRALITÉ DE L’ENTENTE.</w:t>
      </w:r>
      <w:r w:rsidRPr="00A83CE0">
        <w:rPr>
          <w:color w:val="000000"/>
          <w:sz w:val="12"/>
          <w:szCs w:val="12"/>
        </w:rPr>
        <w:t xml:space="preserve"> </w:t>
      </w:r>
      <w:r w:rsidR="0018628C">
        <w:rPr>
          <w:color w:val="000000"/>
          <w:sz w:val="12"/>
          <w:szCs w:val="12"/>
        </w:rPr>
        <w:t>Les présentes c</w:t>
      </w:r>
      <w:r w:rsidRPr="00A83CE0">
        <w:rPr>
          <w:color w:val="000000"/>
          <w:sz w:val="12"/>
          <w:szCs w:val="12"/>
        </w:rPr>
        <w:t xml:space="preserve">onditions </w:t>
      </w:r>
      <w:r w:rsidR="0018628C">
        <w:rPr>
          <w:color w:val="000000"/>
          <w:sz w:val="12"/>
          <w:szCs w:val="12"/>
        </w:rPr>
        <w:t xml:space="preserve">générales </w:t>
      </w:r>
      <w:r w:rsidRPr="00A83CE0">
        <w:rPr>
          <w:color w:val="000000"/>
          <w:sz w:val="12"/>
          <w:szCs w:val="12"/>
        </w:rPr>
        <w:t xml:space="preserve">de vente </w:t>
      </w:r>
      <w:r w:rsidR="0018628C">
        <w:rPr>
          <w:color w:val="000000"/>
          <w:sz w:val="12"/>
          <w:szCs w:val="12"/>
        </w:rPr>
        <w:t xml:space="preserve">de produits </w:t>
      </w:r>
      <w:r w:rsidRPr="00A83CE0">
        <w:rPr>
          <w:color w:val="000000"/>
          <w:sz w:val="12"/>
          <w:szCs w:val="12"/>
        </w:rPr>
        <w:t>d</w:t>
      </w:r>
      <w:r w:rsidR="0018628C">
        <w:rPr>
          <w:color w:val="000000"/>
          <w:sz w:val="12"/>
          <w:szCs w:val="12"/>
        </w:rPr>
        <w:t>e</w:t>
      </w:r>
      <w:r w:rsidRPr="00A83CE0">
        <w:rPr>
          <w:color w:val="000000"/>
          <w:sz w:val="12"/>
          <w:szCs w:val="12"/>
        </w:rPr>
        <w:t xml:space="preserve"> bois d’œuvre</w:t>
      </w:r>
      <w:r w:rsidR="00BF66D1">
        <w:rPr>
          <w:color w:val="000000"/>
          <w:sz w:val="12"/>
          <w:szCs w:val="12"/>
        </w:rPr>
        <w:t xml:space="preserve"> </w:t>
      </w:r>
      <w:r w:rsidRPr="00A83CE0">
        <w:rPr>
          <w:color w:val="000000"/>
          <w:sz w:val="12"/>
          <w:szCs w:val="12"/>
        </w:rPr>
        <w:t>(Amérique du Nord et exportation) (</w:t>
      </w:r>
      <w:r w:rsidR="00BF66D1">
        <w:rPr>
          <w:color w:val="000000"/>
          <w:sz w:val="12"/>
          <w:szCs w:val="12"/>
        </w:rPr>
        <w:t xml:space="preserve">les </w:t>
      </w:r>
      <w:r w:rsidR="00CE6645">
        <w:rPr>
          <w:color w:val="000000"/>
          <w:sz w:val="12"/>
          <w:szCs w:val="12"/>
        </w:rPr>
        <w:t xml:space="preserve">               </w:t>
      </w:r>
      <w:r w:rsidRPr="00A83CE0">
        <w:rPr>
          <w:color w:val="000000"/>
          <w:sz w:val="12"/>
          <w:szCs w:val="12"/>
        </w:rPr>
        <w:t>«</w:t>
      </w:r>
      <w:r w:rsidR="002674E5">
        <w:rPr>
          <w:color w:val="000000"/>
          <w:sz w:val="12"/>
          <w:szCs w:val="12"/>
        </w:rPr>
        <w:t xml:space="preserve"> </w:t>
      </w:r>
      <w:r w:rsidR="0079793D">
        <w:rPr>
          <w:b/>
          <w:color w:val="000000"/>
          <w:sz w:val="12"/>
          <w:szCs w:val="12"/>
        </w:rPr>
        <w:t xml:space="preserve">Conditions générales </w:t>
      </w:r>
      <w:r w:rsidRPr="00A83CE0">
        <w:rPr>
          <w:color w:val="000000"/>
          <w:sz w:val="12"/>
          <w:szCs w:val="12"/>
        </w:rPr>
        <w:t xml:space="preserve">», </w:t>
      </w:r>
      <w:r w:rsidR="00A229AD">
        <w:rPr>
          <w:color w:val="000000"/>
          <w:sz w:val="12"/>
          <w:szCs w:val="12"/>
        </w:rPr>
        <w:t xml:space="preserve">qui </w:t>
      </w:r>
      <w:r w:rsidR="00BC1FDE">
        <w:rPr>
          <w:color w:val="000000"/>
          <w:sz w:val="12"/>
          <w:szCs w:val="12"/>
        </w:rPr>
        <w:t>peuvent être</w:t>
      </w:r>
      <w:r w:rsidRPr="00A83CE0">
        <w:rPr>
          <w:color w:val="000000"/>
          <w:sz w:val="12"/>
          <w:szCs w:val="12"/>
        </w:rPr>
        <w:t xml:space="preserve"> télécharg</w:t>
      </w:r>
      <w:r w:rsidR="00BC1FDE">
        <w:rPr>
          <w:color w:val="000000"/>
          <w:sz w:val="12"/>
          <w:szCs w:val="12"/>
        </w:rPr>
        <w:t>ées</w:t>
      </w:r>
      <w:r w:rsidRPr="00A83CE0">
        <w:rPr>
          <w:color w:val="000000"/>
          <w:sz w:val="12"/>
          <w:szCs w:val="12"/>
        </w:rPr>
        <w:t xml:space="preserve"> à l’adresse </w:t>
      </w:r>
      <w:hyperlink r:id="rId16" w:history="1">
        <w:r w:rsidR="00912538" w:rsidRPr="00DA3E80">
          <w:rPr>
            <w:rStyle w:val="Hyperlink"/>
            <w:sz w:val="12"/>
            <w:szCs w:val="12"/>
            <w:u w:color="0000FF"/>
          </w:rPr>
          <w:t>https://interfor.com/terms-and-conditions/</w:t>
        </w:r>
        <w:r w:rsidR="00912538" w:rsidRPr="00DA3E80">
          <w:rPr>
            <w:rStyle w:val="Hyperlink"/>
            <w:sz w:val="12"/>
            <w:szCs w:val="12"/>
          </w:rPr>
          <w:t>)</w:t>
        </w:r>
        <w:r w:rsidR="00912538" w:rsidRPr="00457DF9">
          <w:rPr>
            <w:rStyle w:val="Hyperlink"/>
            <w:sz w:val="12"/>
            <w:szCs w:val="12"/>
            <w:u w:val="none"/>
          </w:rPr>
          <w:t xml:space="preserve"> </w:t>
        </w:r>
      </w:hyperlink>
      <w:r w:rsidRPr="00A83CE0">
        <w:rPr>
          <w:color w:val="000000"/>
          <w:sz w:val="12"/>
          <w:szCs w:val="12"/>
        </w:rPr>
        <w:t>sont intégré</w:t>
      </w:r>
      <w:r w:rsidR="00A229AD">
        <w:rPr>
          <w:color w:val="000000"/>
          <w:sz w:val="12"/>
          <w:szCs w:val="12"/>
        </w:rPr>
        <w:t>e</w:t>
      </w:r>
      <w:r w:rsidRPr="00A83CE0">
        <w:rPr>
          <w:color w:val="000000"/>
          <w:sz w:val="12"/>
          <w:szCs w:val="12"/>
        </w:rPr>
        <w:t>s dans chaque acceptation d’offre et contrat de vente (« </w:t>
      </w:r>
      <w:r w:rsidR="0079793D">
        <w:rPr>
          <w:b/>
          <w:color w:val="000000"/>
          <w:sz w:val="12"/>
          <w:szCs w:val="12"/>
        </w:rPr>
        <w:t xml:space="preserve">Contrat de vente </w:t>
      </w:r>
      <w:r w:rsidRPr="00A83CE0">
        <w:rPr>
          <w:color w:val="000000"/>
          <w:sz w:val="12"/>
          <w:szCs w:val="12"/>
        </w:rPr>
        <w:t xml:space="preserve">») conclu par Interfor </w:t>
      </w:r>
      <w:r w:rsidR="00457DF9">
        <w:rPr>
          <w:color w:val="000000"/>
          <w:sz w:val="12"/>
          <w:szCs w:val="12"/>
        </w:rPr>
        <w:t xml:space="preserve">Corporation, </w:t>
      </w:r>
      <w:r w:rsidR="00646878">
        <w:rPr>
          <w:color w:val="000000"/>
          <w:sz w:val="12"/>
          <w:szCs w:val="12"/>
        </w:rPr>
        <w:t xml:space="preserve">Interfor Est Ltée., </w:t>
      </w:r>
      <w:proofErr w:type="spellStart"/>
      <w:r w:rsidR="00646878">
        <w:rPr>
          <w:color w:val="000000"/>
          <w:sz w:val="12"/>
          <w:szCs w:val="12"/>
        </w:rPr>
        <w:t>Eacom</w:t>
      </w:r>
      <w:proofErr w:type="spellEnd"/>
      <w:r w:rsidR="00646878">
        <w:rPr>
          <w:color w:val="000000"/>
          <w:sz w:val="12"/>
          <w:szCs w:val="12"/>
        </w:rPr>
        <w:t xml:space="preserve"> Timber Corporation, </w:t>
      </w:r>
      <w:r w:rsidR="00457DF9">
        <w:rPr>
          <w:color w:val="000000"/>
          <w:sz w:val="12"/>
          <w:szCs w:val="12"/>
        </w:rPr>
        <w:t xml:space="preserve">Interfor </w:t>
      </w:r>
      <w:r w:rsidRPr="00A83CE0">
        <w:rPr>
          <w:color w:val="000000"/>
          <w:sz w:val="12"/>
          <w:szCs w:val="12"/>
        </w:rPr>
        <w:t xml:space="preserve">U.S. Inc., </w:t>
      </w:r>
      <w:r w:rsidR="00457DF9">
        <w:rPr>
          <w:color w:val="000000"/>
          <w:sz w:val="12"/>
          <w:szCs w:val="12"/>
        </w:rPr>
        <w:t xml:space="preserve">Interfor Japan Ltd. </w:t>
      </w:r>
      <w:proofErr w:type="gramStart"/>
      <w:r w:rsidRPr="00A83CE0">
        <w:rPr>
          <w:color w:val="000000"/>
          <w:sz w:val="12"/>
          <w:szCs w:val="12"/>
        </w:rPr>
        <w:t>ou</w:t>
      </w:r>
      <w:proofErr w:type="gramEnd"/>
      <w:r w:rsidR="00457DF9">
        <w:rPr>
          <w:color w:val="000000"/>
          <w:sz w:val="12"/>
          <w:szCs w:val="12"/>
        </w:rPr>
        <w:t xml:space="preserve"> </w:t>
      </w:r>
      <w:r w:rsidR="00457DF9" w:rsidRPr="00A83CE0">
        <w:rPr>
          <w:color w:val="000000"/>
          <w:sz w:val="12"/>
          <w:szCs w:val="12"/>
        </w:rPr>
        <w:t>Interfor Sales &amp; Marketing Ltd.</w:t>
      </w:r>
      <w:r w:rsidRPr="00A83CE0">
        <w:rPr>
          <w:color w:val="000000"/>
          <w:sz w:val="12"/>
          <w:szCs w:val="12"/>
        </w:rPr>
        <w:t xml:space="preserve"> (</w:t>
      </w:r>
      <w:proofErr w:type="gramStart"/>
      <w:r w:rsidRPr="00A83CE0">
        <w:rPr>
          <w:color w:val="000000"/>
          <w:sz w:val="12"/>
          <w:szCs w:val="12"/>
        </w:rPr>
        <w:t>chacun</w:t>
      </w:r>
      <w:proofErr w:type="gramEnd"/>
      <w:r w:rsidRPr="00A83CE0">
        <w:rPr>
          <w:color w:val="000000"/>
          <w:sz w:val="12"/>
          <w:szCs w:val="12"/>
        </w:rPr>
        <w:t xml:space="preserve"> de ces vendeurs est </w:t>
      </w:r>
      <w:r w:rsidR="009C42F5">
        <w:rPr>
          <w:color w:val="000000"/>
          <w:sz w:val="12"/>
          <w:szCs w:val="12"/>
        </w:rPr>
        <w:t>appelé</w:t>
      </w:r>
      <w:r w:rsidRPr="00A83CE0">
        <w:rPr>
          <w:color w:val="000000"/>
          <w:sz w:val="12"/>
          <w:szCs w:val="12"/>
        </w:rPr>
        <w:t xml:space="preserve"> dans </w:t>
      </w:r>
      <w:r w:rsidR="009C42F5">
        <w:rPr>
          <w:color w:val="000000"/>
          <w:sz w:val="12"/>
          <w:szCs w:val="12"/>
        </w:rPr>
        <w:t>les présentes</w:t>
      </w:r>
      <w:r w:rsidR="002674E5">
        <w:rPr>
          <w:color w:val="000000"/>
          <w:sz w:val="12"/>
          <w:szCs w:val="12"/>
        </w:rPr>
        <w:t xml:space="preserve"> </w:t>
      </w:r>
      <w:r w:rsidR="0079793D">
        <w:rPr>
          <w:color w:val="000000"/>
          <w:sz w:val="12"/>
          <w:szCs w:val="12"/>
        </w:rPr>
        <w:t xml:space="preserve">Conditions générales </w:t>
      </w:r>
      <w:r w:rsidRPr="00A83CE0">
        <w:rPr>
          <w:color w:val="000000"/>
          <w:sz w:val="12"/>
          <w:szCs w:val="12"/>
        </w:rPr>
        <w:t>« </w:t>
      </w:r>
      <w:r w:rsidRPr="00A83CE0">
        <w:rPr>
          <w:b/>
          <w:color w:val="000000"/>
          <w:sz w:val="12"/>
          <w:szCs w:val="12"/>
        </w:rPr>
        <w:t>Interfor</w:t>
      </w:r>
      <w:r w:rsidRPr="00A83CE0">
        <w:rPr>
          <w:color w:val="000000"/>
          <w:sz w:val="12"/>
          <w:szCs w:val="12"/>
        </w:rPr>
        <w:t xml:space="preserve"> ») </w:t>
      </w:r>
      <w:r w:rsidR="00421954">
        <w:rPr>
          <w:color w:val="000000"/>
          <w:sz w:val="12"/>
          <w:szCs w:val="12"/>
        </w:rPr>
        <w:t>aux fins de</w:t>
      </w:r>
      <w:r w:rsidRPr="00A83CE0">
        <w:rPr>
          <w:color w:val="000000"/>
          <w:sz w:val="12"/>
          <w:szCs w:val="12"/>
        </w:rPr>
        <w:t xml:space="preserve"> la vente de produits de bois d’</w:t>
      </w:r>
      <w:r w:rsidR="00BB47D8" w:rsidRPr="00A83CE0">
        <w:rPr>
          <w:color w:val="000000"/>
          <w:sz w:val="12"/>
          <w:szCs w:val="12"/>
        </w:rPr>
        <w:t>œuvre</w:t>
      </w:r>
      <w:r w:rsidRPr="00A83CE0">
        <w:rPr>
          <w:color w:val="000000"/>
          <w:sz w:val="12"/>
          <w:szCs w:val="12"/>
        </w:rPr>
        <w:t xml:space="preserve"> décrits dans ce </w:t>
      </w:r>
      <w:r w:rsidR="0079793D">
        <w:rPr>
          <w:color w:val="000000"/>
          <w:sz w:val="12"/>
          <w:szCs w:val="12"/>
        </w:rPr>
        <w:t xml:space="preserve">Contrat de vente </w:t>
      </w:r>
      <w:r w:rsidRPr="00A83CE0">
        <w:rPr>
          <w:color w:val="000000"/>
          <w:sz w:val="12"/>
          <w:szCs w:val="12"/>
        </w:rPr>
        <w:t>(les « </w:t>
      </w:r>
      <w:r w:rsidR="0079793D">
        <w:rPr>
          <w:b/>
          <w:bCs/>
          <w:color w:val="000000"/>
          <w:sz w:val="12"/>
          <w:szCs w:val="12"/>
        </w:rPr>
        <w:t xml:space="preserve">Produits de bois d’œuvre </w:t>
      </w:r>
      <w:r w:rsidRPr="00A83CE0">
        <w:rPr>
          <w:color w:val="000000"/>
          <w:sz w:val="12"/>
          <w:szCs w:val="12"/>
        </w:rPr>
        <w:t xml:space="preserve">») par Interfor à la personne </w:t>
      </w:r>
      <w:r w:rsidR="00D76CEE">
        <w:rPr>
          <w:color w:val="000000"/>
          <w:sz w:val="12"/>
          <w:szCs w:val="12"/>
        </w:rPr>
        <w:t>désignée</w:t>
      </w:r>
      <w:r w:rsidR="00DD3191">
        <w:rPr>
          <w:color w:val="000000"/>
          <w:sz w:val="12"/>
          <w:szCs w:val="12"/>
        </w:rPr>
        <w:t xml:space="preserve"> </w:t>
      </w:r>
      <w:r w:rsidRPr="00A83CE0">
        <w:rPr>
          <w:color w:val="000000"/>
          <w:sz w:val="12"/>
          <w:szCs w:val="12"/>
        </w:rPr>
        <w:t xml:space="preserve">dans le </w:t>
      </w:r>
      <w:r w:rsidR="0079793D">
        <w:rPr>
          <w:color w:val="000000"/>
          <w:sz w:val="12"/>
          <w:szCs w:val="12"/>
        </w:rPr>
        <w:t xml:space="preserve">Contrat de vente </w:t>
      </w:r>
      <w:r w:rsidRPr="00A83CE0">
        <w:rPr>
          <w:color w:val="000000"/>
          <w:sz w:val="12"/>
          <w:szCs w:val="12"/>
        </w:rPr>
        <w:t>comme étant la personne à qui les</w:t>
      </w:r>
      <w:r w:rsidR="00E83033">
        <w:rPr>
          <w:color w:val="000000"/>
          <w:sz w:val="12"/>
          <w:szCs w:val="12"/>
        </w:rPr>
        <w:t xml:space="preserve"> </w:t>
      </w:r>
      <w:r w:rsidR="0079793D">
        <w:rPr>
          <w:color w:val="000000"/>
          <w:sz w:val="12"/>
          <w:szCs w:val="12"/>
        </w:rPr>
        <w:t xml:space="preserve">Produits de bois d’œuvre </w:t>
      </w:r>
      <w:r w:rsidRPr="00A83CE0">
        <w:rPr>
          <w:color w:val="000000"/>
          <w:sz w:val="12"/>
          <w:szCs w:val="12"/>
        </w:rPr>
        <w:t>sont « vendus » (appelé</w:t>
      </w:r>
      <w:r w:rsidR="00621166">
        <w:rPr>
          <w:color w:val="000000"/>
          <w:sz w:val="12"/>
          <w:szCs w:val="12"/>
        </w:rPr>
        <w:t>e</w:t>
      </w:r>
      <w:r w:rsidRPr="00A83CE0">
        <w:rPr>
          <w:color w:val="000000"/>
          <w:sz w:val="12"/>
          <w:szCs w:val="12"/>
        </w:rPr>
        <w:t xml:space="preserve"> dans les présentes</w:t>
      </w:r>
      <w:r w:rsidR="002674E5">
        <w:rPr>
          <w:color w:val="000000"/>
          <w:sz w:val="12"/>
          <w:szCs w:val="12"/>
        </w:rPr>
        <w:t xml:space="preserve"> </w:t>
      </w:r>
      <w:r w:rsidR="0079793D">
        <w:rPr>
          <w:color w:val="000000"/>
          <w:sz w:val="12"/>
          <w:szCs w:val="12"/>
        </w:rPr>
        <w:t xml:space="preserve">Conditions générales </w:t>
      </w:r>
      <w:r w:rsidRPr="00A83CE0">
        <w:rPr>
          <w:color w:val="000000"/>
          <w:sz w:val="12"/>
          <w:szCs w:val="12"/>
        </w:rPr>
        <w:t>le « </w:t>
      </w:r>
      <w:r w:rsidR="003F3FC3">
        <w:rPr>
          <w:b/>
          <w:bCs/>
          <w:color w:val="000000"/>
          <w:sz w:val="12"/>
          <w:szCs w:val="12"/>
        </w:rPr>
        <w:t>Client</w:t>
      </w:r>
      <w:r w:rsidRPr="00A83CE0">
        <w:rPr>
          <w:color w:val="000000"/>
          <w:sz w:val="12"/>
          <w:szCs w:val="12"/>
        </w:rPr>
        <w:t xml:space="preserve"> »). Le </w:t>
      </w:r>
      <w:r w:rsidR="006802A8">
        <w:rPr>
          <w:color w:val="000000"/>
          <w:sz w:val="12"/>
          <w:szCs w:val="12"/>
        </w:rPr>
        <w:t>C</w:t>
      </w:r>
      <w:r w:rsidRPr="00A83CE0">
        <w:rPr>
          <w:color w:val="000000"/>
          <w:sz w:val="12"/>
          <w:szCs w:val="12"/>
        </w:rPr>
        <w:t>ontrat de vente, toute facture émise par Inter</w:t>
      </w:r>
      <w:r w:rsidR="006D32AC">
        <w:rPr>
          <w:color w:val="000000"/>
          <w:sz w:val="12"/>
          <w:szCs w:val="12"/>
        </w:rPr>
        <w:t>for et la version des présentes</w:t>
      </w:r>
      <w:r w:rsidR="0079793D">
        <w:rPr>
          <w:color w:val="000000"/>
          <w:sz w:val="12"/>
          <w:szCs w:val="12"/>
        </w:rPr>
        <w:t xml:space="preserve"> Conditions générales </w:t>
      </w:r>
      <w:r w:rsidRPr="00A83CE0">
        <w:rPr>
          <w:color w:val="000000"/>
          <w:sz w:val="12"/>
          <w:szCs w:val="12"/>
        </w:rPr>
        <w:t xml:space="preserve">en vigueur à la date du </w:t>
      </w:r>
      <w:r w:rsidR="0079793D">
        <w:rPr>
          <w:color w:val="000000"/>
          <w:sz w:val="12"/>
          <w:szCs w:val="12"/>
        </w:rPr>
        <w:t xml:space="preserve">Contrat de vente </w:t>
      </w:r>
      <w:r w:rsidRPr="00A83CE0">
        <w:rPr>
          <w:color w:val="000000"/>
          <w:sz w:val="12"/>
          <w:szCs w:val="12"/>
        </w:rPr>
        <w:t>(collectivement, la « </w:t>
      </w:r>
      <w:r w:rsidR="00292D2B">
        <w:rPr>
          <w:b/>
          <w:color w:val="000000"/>
          <w:sz w:val="12"/>
          <w:szCs w:val="12"/>
        </w:rPr>
        <w:t>Convention</w:t>
      </w:r>
      <w:r w:rsidRPr="00A83CE0">
        <w:rPr>
          <w:color w:val="000000"/>
          <w:sz w:val="12"/>
          <w:szCs w:val="12"/>
        </w:rPr>
        <w:t xml:space="preserve"> ») constituent l’entente intégrale entre Interfor et le </w:t>
      </w:r>
      <w:r w:rsidR="003F3FC3">
        <w:rPr>
          <w:color w:val="000000"/>
          <w:sz w:val="12"/>
          <w:szCs w:val="12"/>
        </w:rPr>
        <w:t>Client</w:t>
      </w:r>
      <w:r w:rsidRPr="00A83CE0">
        <w:rPr>
          <w:color w:val="000000"/>
          <w:sz w:val="12"/>
          <w:szCs w:val="12"/>
        </w:rPr>
        <w:t xml:space="preserve"> </w:t>
      </w:r>
      <w:r w:rsidR="002D3DE0">
        <w:rPr>
          <w:color w:val="000000"/>
          <w:sz w:val="12"/>
          <w:szCs w:val="12"/>
        </w:rPr>
        <w:t>quant à</w:t>
      </w:r>
      <w:r w:rsidRPr="00A83CE0">
        <w:rPr>
          <w:color w:val="000000"/>
          <w:sz w:val="12"/>
          <w:szCs w:val="12"/>
        </w:rPr>
        <w:t xml:space="preserve"> la vente des </w:t>
      </w:r>
      <w:r w:rsidR="0079793D">
        <w:rPr>
          <w:color w:val="000000"/>
          <w:sz w:val="12"/>
          <w:szCs w:val="12"/>
        </w:rPr>
        <w:t xml:space="preserve">Produits de bois d’œuvre </w:t>
      </w:r>
      <w:r w:rsidRPr="00A83CE0">
        <w:rPr>
          <w:color w:val="000000"/>
          <w:sz w:val="12"/>
          <w:szCs w:val="12"/>
        </w:rPr>
        <w:t xml:space="preserve">par Interfor au </w:t>
      </w:r>
      <w:r w:rsidR="003F3FC3">
        <w:rPr>
          <w:color w:val="000000"/>
          <w:sz w:val="12"/>
          <w:szCs w:val="12"/>
        </w:rPr>
        <w:t>Client</w:t>
      </w:r>
      <w:r w:rsidRPr="00A83CE0">
        <w:rPr>
          <w:color w:val="000000"/>
          <w:sz w:val="12"/>
          <w:szCs w:val="12"/>
        </w:rPr>
        <w:t xml:space="preserve">, et remplacent tous les </w:t>
      </w:r>
      <w:r w:rsidR="0095078D">
        <w:rPr>
          <w:color w:val="000000"/>
          <w:sz w:val="12"/>
          <w:szCs w:val="12"/>
        </w:rPr>
        <w:t xml:space="preserve">bons de commande, </w:t>
      </w:r>
      <w:r w:rsidR="006D32AC">
        <w:rPr>
          <w:color w:val="000000"/>
          <w:sz w:val="12"/>
          <w:szCs w:val="12"/>
        </w:rPr>
        <w:t>c</w:t>
      </w:r>
      <w:r w:rsidR="00292D2B">
        <w:rPr>
          <w:color w:val="000000"/>
          <w:sz w:val="12"/>
          <w:szCs w:val="12"/>
        </w:rPr>
        <w:t>onvention</w:t>
      </w:r>
      <w:r w:rsidRPr="00A83CE0">
        <w:rPr>
          <w:color w:val="000000"/>
          <w:sz w:val="12"/>
          <w:szCs w:val="12"/>
        </w:rPr>
        <w:t>s, déclarations ou ententes antérieur</w:t>
      </w:r>
      <w:r w:rsidR="00E4398A">
        <w:rPr>
          <w:color w:val="000000"/>
          <w:sz w:val="12"/>
          <w:szCs w:val="12"/>
        </w:rPr>
        <w:t>e</w:t>
      </w:r>
      <w:r w:rsidRPr="00A83CE0">
        <w:rPr>
          <w:color w:val="000000"/>
          <w:sz w:val="12"/>
          <w:szCs w:val="12"/>
        </w:rPr>
        <w:t>s, verba</w:t>
      </w:r>
      <w:r w:rsidR="00E4398A">
        <w:rPr>
          <w:color w:val="000000"/>
          <w:sz w:val="12"/>
          <w:szCs w:val="12"/>
        </w:rPr>
        <w:t>les</w:t>
      </w:r>
      <w:r w:rsidRPr="00A83CE0">
        <w:rPr>
          <w:color w:val="000000"/>
          <w:sz w:val="12"/>
          <w:szCs w:val="12"/>
        </w:rPr>
        <w:t xml:space="preserve"> ou écrit</w:t>
      </w:r>
      <w:r w:rsidR="00E4398A">
        <w:rPr>
          <w:color w:val="000000"/>
          <w:sz w:val="12"/>
          <w:szCs w:val="12"/>
        </w:rPr>
        <w:t>e</w:t>
      </w:r>
      <w:r w:rsidRPr="00A83CE0">
        <w:rPr>
          <w:color w:val="000000"/>
          <w:sz w:val="12"/>
          <w:szCs w:val="12"/>
        </w:rPr>
        <w:t>s, expr</w:t>
      </w:r>
      <w:r w:rsidR="00546809">
        <w:rPr>
          <w:color w:val="000000"/>
          <w:sz w:val="12"/>
          <w:szCs w:val="12"/>
        </w:rPr>
        <w:t>esses</w:t>
      </w:r>
      <w:r w:rsidRPr="00A83CE0">
        <w:rPr>
          <w:color w:val="000000"/>
          <w:sz w:val="12"/>
          <w:szCs w:val="12"/>
        </w:rPr>
        <w:t xml:space="preserve"> ou implicites, prévu</w:t>
      </w:r>
      <w:r w:rsidR="00546809">
        <w:rPr>
          <w:color w:val="000000"/>
          <w:sz w:val="12"/>
          <w:szCs w:val="12"/>
        </w:rPr>
        <w:t>e</w:t>
      </w:r>
      <w:r w:rsidRPr="00A83CE0">
        <w:rPr>
          <w:color w:val="000000"/>
          <w:sz w:val="12"/>
          <w:szCs w:val="12"/>
        </w:rPr>
        <w:t xml:space="preserve">s par la loi ou autrement, entre </w:t>
      </w:r>
      <w:r w:rsidR="00207FF7">
        <w:rPr>
          <w:color w:val="000000"/>
          <w:sz w:val="12"/>
          <w:szCs w:val="12"/>
        </w:rPr>
        <w:t xml:space="preserve">le </w:t>
      </w:r>
      <w:r w:rsidR="003F3FC3">
        <w:rPr>
          <w:color w:val="000000"/>
          <w:sz w:val="12"/>
          <w:szCs w:val="12"/>
        </w:rPr>
        <w:t>Client</w:t>
      </w:r>
      <w:r w:rsidR="00207FF7">
        <w:rPr>
          <w:color w:val="000000"/>
          <w:sz w:val="12"/>
          <w:szCs w:val="12"/>
        </w:rPr>
        <w:t xml:space="preserve"> </w:t>
      </w:r>
      <w:r w:rsidRPr="00A83CE0">
        <w:rPr>
          <w:color w:val="000000"/>
          <w:sz w:val="12"/>
          <w:szCs w:val="12"/>
        </w:rPr>
        <w:t>et Interfo</w:t>
      </w:r>
      <w:r w:rsidR="006D32AC">
        <w:rPr>
          <w:color w:val="000000"/>
          <w:sz w:val="12"/>
          <w:szCs w:val="12"/>
        </w:rPr>
        <w:t>r à l’égard de la vente de ces P</w:t>
      </w:r>
      <w:r w:rsidRPr="00A83CE0">
        <w:rPr>
          <w:color w:val="000000"/>
          <w:sz w:val="12"/>
          <w:szCs w:val="12"/>
        </w:rPr>
        <w:t>roduits de bois d’</w:t>
      </w:r>
      <w:r w:rsidR="00207FF7" w:rsidRPr="00A83CE0">
        <w:rPr>
          <w:color w:val="000000"/>
          <w:sz w:val="12"/>
          <w:szCs w:val="12"/>
        </w:rPr>
        <w:t>œuvre</w:t>
      </w:r>
      <w:r w:rsidRPr="00A83CE0">
        <w:rPr>
          <w:color w:val="000000"/>
          <w:sz w:val="12"/>
          <w:szCs w:val="12"/>
        </w:rPr>
        <w:t>. Inter</w:t>
      </w:r>
      <w:r w:rsidR="006D32AC">
        <w:rPr>
          <w:color w:val="000000"/>
          <w:sz w:val="12"/>
          <w:szCs w:val="12"/>
        </w:rPr>
        <w:t>for peut modifier les présentes</w:t>
      </w:r>
      <w:r w:rsidR="0079793D">
        <w:rPr>
          <w:color w:val="000000"/>
          <w:sz w:val="12"/>
          <w:szCs w:val="12"/>
        </w:rPr>
        <w:t xml:space="preserve"> Conditions générales </w:t>
      </w:r>
      <w:r w:rsidRPr="00A83CE0">
        <w:rPr>
          <w:color w:val="000000"/>
          <w:sz w:val="12"/>
          <w:szCs w:val="12"/>
        </w:rPr>
        <w:t xml:space="preserve">à tout moment, mais un </w:t>
      </w:r>
      <w:r w:rsidR="0079793D">
        <w:rPr>
          <w:color w:val="000000"/>
          <w:sz w:val="12"/>
          <w:szCs w:val="12"/>
        </w:rPr>
        <w:t>Contrat de vente</w:t>
      </w:r>
      <w:r w:rsidRPr="00A83CE0">
        <w:rPr>
          <w:color w:val="000000"/>
          <w:sz w:val="12"/>
          <w:szCs w:val="12"/>
        </w:rPr>
        <w:t xml:space="preserve"> peut être modifié </w:t>
      </w:r>
      <w:r w:rsidR="003A39EA">
        <w:rPr>
          <w:color w:val="000000"/>
          <w:sz w:val="12"/>
          <w:szCs w:val="12"/>
        </w:rPr>
        <w:t>uniquement</w:t>
      </w:r>
      <w:r w:rsidR="00AA5EB2">
        <w:rPr>
          <w:color w:val="000000"/>
          <w:sz w:val="12"/>
          <w:szCs w:val="12"/>
        </w:rPr>
        <w:t xml:space="preserve"> </w:t>
      </w:r>
      <w:r w:rsidRPr="00A83CE0">
        <w:rPr>
          <w:color w:val="000000"/>
          <w:sz w:val="12"/>
          <w:szCs w:val="12"/>
        </w:rPr>
        <w:t xml:space="preserve">par </w:t>
      </w:r>
      <w:r w:rsidR="005103AC">
        <w:rPr>
          <w:color w:val="000000"/>
          <w:sz w:val="12"/>
          <w:szCs w:val="12"/>
        </w:rPr>
        <w:t xml:space="preserve">un </w:t>
      </w:r>
      <w:r w:rsidR="00F6177F">
        <w:rPr>
          <w:color w:val="000000"/>
          <w:sz w:val="12"/>
          <w:szCs w:val="12"/>
        </w:rPr>
        <w:t xml:space="preserve">document </w:t>
      </w:r>
      <w:r w:rsidRPr="00A83CE0">
        <w:rPr>
          <w:color w:val="000000"/>
          <w:sz w:val="12"/>
          <w:szCs w:val="12"/>
        </w:rPr>
        <w:t xml:space="preserve">écrit signé par le </w:t>
      </w:r>
      <w:r w:rsidR="003F3FC3">
        <w:rPr>
          <w:color w:val="000000"/>
          <w:sz w:val="12"/>
          <w:szCs w:val="12"/>
        </w:rPr>
        <w:t>Client</w:t>
      </w:r>
      <w:r w:rsidRPr="00A83CE0">
        <w:rPr>
          <w:color w:val="000000"/>
          <w:sz w:val="12"/>
          <w:szCs w:val="12"/>
        </w:rPr>
        <w:t xml:space="preserve"> et Interfor. Aucun fournisseur, représentant des ventes</w:t>
      </w:r>
      <w:r w:rsidR="00F6177F">
        <w:rPr>
          <w:color w:val="000000"/>
          <w:sz w:val="12"/>
          <w:szCs w:val="12"/>
        </w:rPr>
        <w:t>, agent</w:t>
      </w:r>
      <w:r w:rsidRPr="00A83CE0">
        <w:rPr>
          <w:color w:val="000000"/>
          <w:sz w:val="12"/>
          <w:szCs w:val="12"/>
        </w:rPr>
        <w:t xml:space="preserve"> ou mandataire n’est autorisé à renoncer aux modalités de la </w:t>
      </w:r>
      <w:r w:rsidR="00292D2B">
        <w:rPr>
          <w:color w:val="000000"/>
          <w:sz w:val="12"/>
          <w:szCs w:val="12"/>
        </w:rPr>
        <w:t>Convention</w:t>
      </w:r>
      <w:r w:rsidRPr="00A83CE0">
        <w:rPr>
          <w:color w:val="000000"/>
          <w:sz w:val="12"/>
          <w:szCs w:val="12"/>
        </w:rPr>
        <w:t xml:space="preserve"> sans l’accord écrit exprès d’un signataire autorisé d’Interfor. Lorsque la </w:t>
      </w:r>
      <w:r w:rsidR="00657564">
        <w:rPr>
          <w:color w:val="000000"/>
          <w:sz w:val="12"/>
          <w:szCs w:val="12"/>
        </w:rPr>
        <w:t>soumiss</w:t>
      </w:r>
      <w:r w:rsidRPr="00A83CE0">
        <w:rPr>
          <w:color w:val="000000"/>
          <w:sz w:val="12"/>
          <w:szCs w:val="12"/>
        </w:rPr>
        <w:t xml:space="preserve">ion, </w:t>
      </w:r>
      <w:r w:rsidR="00AC03F5">
        <w:rPr>
          <w:color w:val="000000"/>
          <w:sz w:val="12"/>
          <w:szCs w:val="12"/>
        </w:rPr>
        <w:t xml:space="preserve">le devis, </w:t>
      </w:r>
      <w:r w:rsidRPr="00A83CE0">
        <w:rPr>
          <w:color w:val="000000"/>
          <w:sz w:val="12"/>
          <w:szCs w:val="12"/>
        </w:rPr>
        <w:t>l</w:t>
      </w:r>
      <w:r w:rsidR="00BF5889">
        <w:rPr>
          <w:color w:val="000000"/>
          <w:sz w:val="12"/>
          <w:szCs w:val="12"/>
        </w:rPr>
        <w:t>a confirmation</w:t>
      </w:r>
      <w:r w:rsidRPr="00A83CE0">
        <w:rPr>
          <w:color w:val="000000"/>
          <w:sz w:val="12"/>
          <w:szCs w:val="12"/>
        </w:rPr>
        <w:t xml:space="preserve"> de commande ou toute autre correspondance du </w:t>
      </w:r>
      <w:r w:rsidR="003F3FC3">
        <w:rPr>
          <w:color w:val="000000"/>
          <w:sz w:val="12"/>
          <w:szCs w:val="12"/>
        </w:rPr>
        <w:t>Client</w:t>
      </w:r>
      <w:r w:rsidRPr="00A83CE0">
        <w:rPr>
          <w:color w:val="000000"/>
          <w:sz w:val="12"/>
          <w:szCs w:val="12"/>
        </w:rPr>
        <w:t xml:space="preserve"> contient des </w:t>
      </w:r>
      <w:r w:rsidR="00703A3D">
        <w:rPr>
          <w:color w:val="000000"/>
          <w:sz w:val="12"/>
          <w:szCs w:val="12"/>
        </w:rPr>
        <w:t xml:space="preserve">modalités et </w:t>
      </w:r>
      <w:r w:rsidRPr="00A83CE0">
        <w:rPr>
          <w:color w:val="000000"/>
          <w:sz w:val="12"/>
          <w:szCs w:val="12"/>
        </w:rPr>
        <w:t xml:space="preserve">conditions contraires </w:t>
      </w:r>
      <w:r w:rsidR="00703A3D">
        <w:rPr>
          <w:color w:val="000000"/>
          <w:sz w:val="12"/>
          <w:szCs w:val="12"/>
        </w:rPr>
        <w:t xml:space="preserve">aux modalités et conditions de la </w:t>
      </w:r>
      <w:r w:rsidR="00292D2B">
        <w:rPr>
          <w:color w:val="000000"/>
          <w:sz w:val="12"/>
          <w:szCs w:val="12"/>
        </w:rPr>
        <w:t>Convention</w:t>
      </w:r>
      <w:r w:rsidR="00200DE2">
        <w:rPr>
          <w:color w:val="000000"/>
          <w:sz w:val="12"/>
          <w:szCs w:val="12"/>
        </w:rPr>
        <w:t xml:space="preserve"> </w:t>
      </w:r>
      <w:r w:rsidRPr="00A83CE0">
        <w:rPr>
          <w:color w:val="000000"/>
          <w:sz w:val="12"/>
          <w:szCs w:val="12"/>
        </w:rPr>
        <w:t xml:space="preserve">ou </w:t>
      </w:r>
      <w:r w:rsidR="00921BB2">
        <w:rPr>
          <w:color w:val="000000"/>
          <w:sz w:val="12"/>
          <w:szCs w:val="12"/>
        </w:rPr>
        <w:t>additionnelles à</w:t>
      </w:r>
      <w:r w:rsidR="005E0C0A">
        <w:rPr>
          <w:color w:val="000000"/>
          <w:sz w:val="12"/>
          <w:szCs w:val="12"/>
        </w:rPr>
        <w:t xml:space="preserve"> celles-ci</w:t>
      </w:r>
      <w:r w:rsidRPr="00A83CE0">
        <w:rPr>
          <w:color w:val="000000"/>
          <w:sz w:val="12"/>
          <w:szCs w:val="12"/>
        </w:rPr>
        <w:t xml:space="preserve">, ces </w:t>
      </w:r>
      <w:r w:rsidR="00AA13AA">
        <w:rPr>
          <w:color w:val="000000"/>
          <w:sz w:val="12"/>
          <w:szCs w:val="12"/>
        </w:rPr>
        <w:t xml:space="preserve">modalités et </w:t>
      </w:r>
      <w:r w:rsidRPr="00A83CE0">
        <w:rPr>
          <w:color w:val="000000"/>
          <w:sz w:val="12"/>
          <w:szCs w:val="12"/>
        </w:rPr>
        <w:t>conditions contraires ou additionnelles sont par les présentes refusées et rejetées par Interfor</w:t>
      </w:r>
      <w:r w:rsidR="00CC5A83">
        <w:rPr>
          <w:color w:val="000000"/>
          <w:sz w:val="12"/>
          <w:szCs w:val="12"/>
        </w:rPr>
        <w:t xml:space="preserve">, </w:t>
      </w:r>
      <w:r w:rsidRPr="00A83CE0">
        <w:rPr>
          <w:color w:val="000000"/>
          <w:sz w:val="12"/>
          <w:szCs w:val="12"/>
        </w:rPr>
        <w:t>sans exigence d’</w:t>
      </w:r>
      <w:r w:rsidR="00CC5A83">
        <w:rPr>
          <w:color w:val="000000"/>
          <w:sz w:val="12"/>
          <w:szCs w:val="12"/>
        </w:rPr>
        <w:t xml:space="preserve">un autre </w:t>
      </w:r>
      <w:r w:rsidRPr="00A83CE0">
        <w:rPr>
          <w:color w:val="000000"/>
          <w:sz w:val="12"/>
          <w:szCs w:val="12"/>
        </w:rPr>
        <w:t>avis d</w:t>
      </w:r>
      <w:r w:rsidR="00795F0A">
        <w:rPr>
          <w:color w:val="000000"/>
          <w:sz w:val="12"/>
          <w:szCs w:val="12"/>
        </w:rPr>
        <w:t>e ce</w:t>
      </w:r>
      <w:r w:rsidRPr="00A83CE0">
        <w:rPr>
          <w:color w:val="000000"/>
          <w:sz w:val="12"/>
          <w:szCs w:val="12"/>
        </w:rPr>
        <w:t xml:space="preserve"> refus et rejet</w:t>
      </w:r>
      <w:r w:rsidR="001538D3">
        <w:rPr>
          <w:color w:val="000000"/>
          <w:sz w:val="12"/>
          <w:szCs w:val="12"/>
        </w:rPr>
        <w:t>.</w:t>
      </w:r>
      <w:r w:rsidR="00BC4026">
        <w:rPr>
          <w:color w:val="000000"/>
          <w:sz w:val="12"/>
          <w:szCs w:val="12"/>
        </w:rPr>
        <w:t xml:space="preserve"> </w:t>
      </w:r>
      <w:r w:rsidR="00B55F53">
        <w:rPr>
          <w:color w:val="000000"/>
          <w:sz w:val="12"/>
          <w:szCs w:val="12"/>
        </w:rPr>
        <w:t>L</w:t>
      </w:r>
      <w:r w:rsidRPr="00A83CE0">
        <w:rPr>
          <w:color w:val="000000"/>
          <w:sz w:val="12"/>
          <w:szCs w:val="12"/>
        </w:rPr>
        <w:t xml:space="preserve">a livraison par Interfor </w:t>
      </w:r>
      <w:r w:rsidR="00BC4026">
        <w:rPr>
          <w:color w:val="000000"/>
          <w:sz w:val="12"/>
          <w:szCs w:val="12"/>
        </w:rPr>
        <w:t>ou</w:t>
      </w:r>
      <w:r w:rsidRPr="00A83CE0">
        <w:rPr>
          <w:color w:val="000000"/>
          <w:sz w:val="12"/>
          <w:szCs w:val="12"/>
        </w:rPr>
        <w:t xml:space="preserve"> l’acceptation </w:t>
      </w:r>
      <w:r w:rsidR="00795F0A">
        <w:rPr>
          <w:color w:val="000000"/>
          <w:sz w:val="12"/>
          <w:szCs w:val="12"/>
        </w:rPr>
        <w:t xml:space="preserve">par Interfor </w:t>
      </w:r>
      <w:r w:rsidRPr="00A83CE0">
        <w:rPr>
          <w:color w:val="000000"/>
          <w:sz w:val="12"/>
          <w:szCs w:val="12"/>
        </w:rPr>
        <w:t xml:space="preserve">du paiement pour l’un des </w:t>
      </w:r>
      <w:r w:rsidR="0079793D">
        <w:rPr>
          <w:color w:val="000000"/>
          <w:sz w:val="12"/>
          <w:szCs w:val="12"/>
        </w:rPr>
        <w:t xml:space="preserve">Produits de bois d’œuvre </w:t>
      </w:r>
      <w:r w:rsidRPr="00A83CE0">
        <w:rPr>
          <w:color w:val="000000"/>
          <w:sz w:val="12"/>
          <w:szCs w:val="12"/>
        </w:rPr>
        <w:t xml:space="preserve">ne constituent </w:t>
      </w:r>
      <w:r w:rsidR="00BC4026">
        <w:rPr>
          <w:color w:val="000000"/>
          <w:sz w:val="12"/>
          <w:szCs w:val="12"/>
        </w:rPr>
        <w:t xml:space="preserve">en aucun cas </w:t>
      </w:r>
      <w:r w:rsidRPr="00A83CE0">
        <w:rPr>
          <w:color w:val="000000"/>
          <w:sz w:val="12"/>
          <w:szCs w:val="12"/>
        </w:rPr>
        <w:t xml:space="preserve">une renonciation par Interfor </w:t>
      </w:r>
      <w:r w:rsidR="006F7824">
        <w:rPr>
          <w:color w:val="000000"/>
          <w:sz w:val="12"/>
          <w:szCs w:val="12"/>
        </w:rPr>
        <w:t>des</w:t>
      </w:r>
      <w:r w:rsidRPr="00A83CE0">
        <w:rPr>
          <w:color w:val="000000"/>
          <w:sz w:val="12"/>
          <w:szCs w:val="12"/>
        </w:rPr>
        <w:t xml:space="preserve"> modalités </w:t>
      </w:r>
      <w:r w:rsidR="006F7824">
        <w:rPr>
          <w:color w:val="000000"/>
          <w:sz w:val="12"/>
          <w:szCs w:val="12"/>
        </w:rPr>
        <w:t xml:space="preserve">et conditions </w:t>
      </w:r>
      <w:r w:rsidR="00FE5CB7">
        <w:rPr>
          <w:color w:val="000000"/>
          <w:sz w:val="12"/>
          <w:szCs w:val="12"/>
        </w:rPr>
        <w:t xml:space="preserve">de </w:t>
      </w:r>
      <w:r w:rsidRPr="00A83CE0">
        <w:rPr>
          <w:color w:val="000000"/>
          <w:sz w:val="12"/>
          <w:szCs w:val="12"/>
        </w:rPr>
        <w:t xml:space="preserve">la </w:t>
      </w:r>
      <w:r w:rsidR="00292D2B">
        <w:rPr>
          <w:color w:val="000000"/>
          <w:sz w:val="12"/>
          <w:szCs w:val="12"/>
        </w:rPr>
        <w:t>Convention</w:t>
      </w:r>
      <w:r w:rsidR="00FB5197">
        <w:rPr>
          <w:color w:val="000000"/>
          <w:sz w:val="12"/>
          <w:szCs w:val="12"/>
        </w:rPr>
        <w:t>,</w:t>
      </w:r>
      <w:r w:rsidRPr="00A83CE0">
        <w:rPr>
          <w:color w:val="000000"/>
          <w:sz w:val="12"/>
          <w:szCs w:val="12"/>
        </w:rPr>
        <w:t xml:space="preserve"> une </w:t>
      </w:r>
      <w:r w:rsidR="00292D2B">
        <w:rPr>
          <w:color w:val="000000"/>
          <w:sz w:val="12"/>
          <w:szCs w:val="12"/>
        </w:rPr>
        <w:t>Convention</w:t>
      </w:r>
      <w:r w:rsidRPr="00A83CE0">
        <w:rPr>
          <w:color w:val="000000"/>
          <w:sz w:val="12"/>
          <w:szCs w:val="12"/>
        </w:rPr>
        <w:t xml:space="preserve"> ou </w:t>
      </w:r>
      <w:r w:rsidR="00F12903">
        <w:rPr>
          <w:color w:val="000000"/>
          <w:sz w:val="12"/>
          <w:szCs w:val="12"/>
        </w:rPr>
        <w:t xml:space="preserve">un consentement </w:t>
      </w:r>
      <w:r w:rsidRPr="00A83CE0">
        <w:rPr>
          <w:color w:val="000000"/>
          <w:sz w:val="12"/>
          <w:szCs w:val="12"/>
        </w:rPr>
        <w:t xml:space="preserve">par Interfor à </w:t>
      </w:r>
      <w:r w:rsidR="00F12903">
        <w:rPr>
          <w:color w:val="000000"/>
          <w:sz w:val="12"/>
          <w:szCs w:val="12"/>
        </w:rPr>
        <w:t>d’</w:t>
      </w:r>
      <w:r w:rsidRPr="00A83CE0">
        <w:rPr>
          <w:color w:val="000000"/>
          <w:sz w:val="12"/>
          <w:szCs w:val="12"/>
        </w:rPr>
        <w:t>autre</w:t>
      </w:r>
      <w:r w:rsidR="00F12903">
        <w:rPr>
          <w:color w:val="000000"/>
          <w:sz w:val="12"/>
          <w:szCs w:val="12"/>
        </w:rPr>
        <w:t>s</w:t>
      </w:r>
      <w:r w:rsidRPr="00A83CE0">
        <w:rPr>
          <w:color w:val="000000"/>
          <w:sz w:val="12"/>
          <w:szCs w:val="12"/>
        </w:rPr>
        <w:t xml:space="preserve"> modalité</w:t>
      </w:r>
      <w:r w:rsidR="00F12903">
        <w:rPr>
          <w:color w:val="000000"/>
          <w:sz w:val="12"/>
          <w:szCs w:val="12"/>
        </w:rPr>
        <w:t>s</w:t>
      </w:r>
      <w:r w:rsidRPr="00A83CE0">
        <w:rPr>
          <w:color w:val="000000"/>
          <w:sz w:val="12"/>
          <w:szCs w:val="12"/>
        </w:rPr>
        <w:t xml:space="preserve"> ou condition</w:t>
      </w:r>
      <w:r w:rsidR="00F12903">
        <w:rPr>
          <w:color w:val="000000"/>
          <w:sz w:val="12"/>
          <w:szCs w:val="12"/>
        </w:rPr>
        <w:t>s</w:t>
      </w:r>
      <w:r w:rsidRPr="00A83CE0">
        <w:rPr>
          <w:color w:val="000000"/>
          <w:sz w:val="12"/>
          <w:szCs w:val="12"/>
        </w:rPr>
        <w:t>.</w:t>
      </w:r>
    </w:p>
    <w:p w14:paraId="17192031" w14:textId="7969442D" w:rsidR="005A01A8" w:rsidRPr="00DE0902" w:rsidRDefault="00B4540C" w:rsidP="00A83CE0">
      <w:pPr>
        <w:pStyle w:val="ListParagraph"/>
        <w:numPr>
          <w:ilvl w:val="0"/>
          <w:numId w:val="2"/>
        </w:numPr>
        <w:tabs>
          <w:tab w:val="left" w:pos="692"/>
          <w:tab w:val="left" w:pos="693"/>
        </w:tabs>
        <w:spacing w:after="120"/>
        <w:ind w:left="113"/>
        <w:rPr>
          <w:sz w:val="12"/>
          <w:szCs w:val="12"/>
        </w:rPr>
      </w:pPr>
      <w:r w:rsidRPr="00DE0902">
        <w:rPr>
          <w:b/>
          <w:color w:val="000000"/>
          <w:spacing w:val="-1"/>
          <w:sz w:val="12"/>
          <w:szCs w:val="12"/>
        </w:rPr>
        <w:t>DIVULGATION</w:t>
      </w:r>
      <w:r w:rsidR="005A01A8" w:rsidRPr="00DE0902">
        <w:rPr>
          <w:b/>
          <w:color w:val="000000"/>
          <w:spacing w:val="-1"/>
          <w:sz w:val="12"/>
          <w:szCs w:val="12"/>
        </w:rPr>
        <w:t xml:space="preserve"> DE LA FONCTION</w:t>
      </w:r>
      <w:r w:rsidR="005A01A8" w:rsidRPr="00DE0902">
        <w:rPr>
          <w:color w:val="000000"/>
          <w:sz w:val="12"/>
          <w:szCs w:val="12"/>
        </w:rPr>
        <w:t xml:space="preserve"> </w:t>
      </w:r>
      <w:r w:rsidR="005A01A8" w:rsidRPr="00DE0902">
        <w:rPr>
          <w:b/>
          <w:bCs/>
          <w:color w:val="000000"/>
          <w:sz w:val="12"/>
          <w:szCs w:val="12"/>
        </w:rPr>
        <w:t>DE VENTE.</w:t>
      </w:r>
      <w:r w:rsidR="005A01A8" w:rsidRPr="00DE0902">
        <w:rPr>
          <w:color w:val="000000"/>
          <w:sz w:val="12"/>
          <w:szCs w:val="12"/>
        </w:rPr>
        <w:t xml:space="preserve"> </w:t>
      </w:r>
      <w:r w:rsidR="00457DF9">
        <w:rPr>
          <w:color w:val="000000"/>
          <w:sz w:val="12"/>
          <w:szCs w:val="12"/>
        </w:rPr>
        <w:t>Lorsque applicable, l</w:t>
      </w:r>
      <w:r w:rsidR="005A01A8" w:rsidRPr="00DE0902">
        <w:rPr>
          <w:color w:val="000000"/>
          <w:sz w:val="12"/>
          <w:szCs w:val="12"/>
        </w:rPr>
        <w:t xml:space="preserve">es éléments suivants sont par les présentes communiqués au </w:t>
      </w:r>
      <w:r w:rsidR="003F3FC3" w:rsidRPr="00DE0902">
        <w:rPr>
          <w:color w:val="000000"/>
          <w:sz w:val="12"/>
          <w:szCs w:val="12"/>
        </w:rPr>
        <w:t>Client</w:t>
      </w:r>
      <w:r w:rsidR="005A01A8" w:rsidRPr="00DE0902">
        <w:rPr>
          <w:color w:val="000000"/>
          <w:sz w:val="12"/>
          <w:szCs w:val="12"/>
        </w:rPr>
        <w:t xml:space="preserve"> et reconnus par celui-ci : a) Interfor U.S. Inc. sollicite des </w:t>
      </w:r>
      <w:r w:rsidR="003C7F8F" w:rsidRPr="00DE0902">
        <w:rPr>
          <w:color w:val="000000"/>
          <w:sz w:val="12"/>
          <w:szCs w:val="12"/>
        </w:rPr>
        <w:t>commande</w:t>
      </w:r>
      <w:r w:rsidR="005A01A8" w:rsidRPr="00DE0902">
        <w:rPr>
          <w:color w:val="000000"/>
          <w:sz w:val="12"/>
          <w:szCs w:val="12"/>
        </w:rPr>
        <w:t xml:space="preserve">s de </w:t>
      </w:r>
      <w:r w:rsidR="004F7580" w:rsidRPr="00DE0902">
        <w:rPr>
          <w:color w:val="000000"/>
          <w:sz w:val="12"/>
          <w:szCs w:val="12"/>
        </w:rPr>
        <w:t>C</w:t>
      </w:r>
      <w:r w:rsidR="003F3FC3" w:rsidRPr="00DE0902">
        <w:rPr>
          <w:color w:val="000000"/>
          <w:sz w:val="12"/>
          <w:szCs w:val="12"/>
        </w:rPr>
        <w:t>lient</w:t>
      </w:r>
      <w:r w:rsidR="005A01A8" w:rsidRPr="00DE0902">
        <w:rPr>
          <w:color w:val="000000"/>
          <w:sz w:val="12"/>
          <w:szCs w:val="12"/>
        </w:rPr>
        <w:t xml:space="preserve">s </w:t>
      </w:r>
      <w:r w:rsidR="00C8589B" w:rsidRPr="00DE0902">
        <w:rPr>
          <w:color w:val="000000"/>
          <w:sz w:val="12"/>
          <w:szCs w:val="12"/>
        </w:rPr>
        <w:t>potentiels pour</w:t>
      </w:r>
      <w:r w:rsidR="005A01A8" w:rsidRPr="00DE0902">
        <w:rPr>
          <w:color w:val="000000"/>
          <w:sz w:val="12"/>
          <w:szCs w:val="12"/>
        </w:rPr>
        <w:t xml:space="preserve"> des </w:t>
      </w:r>
      <w:r w:rsidR="0079793D" w:rsidRPr="00DE0902">
        <w:rPr>
          <w:color w:val="000000"/>
          <w:sz w:val="12"/>
          <w:szCs w:val="12"/>
        </w:rPr>
        <w:t xml:space="preserve">Produits de bois d’œuvre </w:t>
      </w:r>
      <w:r w:rsidR="005A01A8" w:rsidRPr="00DE0902">
        <w:rPr>
          <w:color w:val="000000"/>
          <w:sz w:val="12"/>
          <w:szCs w:val="12"/>
        </w:rPr>
        <w:t xml:space="preserve">vendus par Interfor Sales &amp; Marketing Ltd. </w:t>
      </w:r>
      <w:proofErr w:type="gramStart"/>
      <w:r w:rsidR="005A01A8" w:rsidRPr="00DE0902">
        <w:rPr>
          <w:color w:val="000000"/>
          <w:sz w:val="12"/>
          <w:szCs w:val="12"/>
        </w:rPr>
        <w:t>en</w:t>
      </w:r>
      <w:proofErr w:type="gramEnd"/>
      <w:r w:rsidR="005A01A8" w:rsidRPr="00DE0902">
        <w:rPr>
          <w:color w:val="000000"/>
          <w:sz w:val="12"/>
          <w:szCs w:val="12"/>
        </w:rPr>
        <w:t xml:space="preserve"> Amérique du Nord;</w:t>
      </w:r>
      <w:r w:rsidR="001A3A3E">
        <w:rPr>
          <w:color w:val="000000"/>
          <w:sz w:val="12"/>
          <w:szCs w:val="12"/>
        </w:rPr>
        <w:t xml:space="preserve"> et</w:t>
      </w:r>
      <w:r w:rsidR="005A01A8" w:rsidRPr="00DE0902">
        <w:rPr>
          <w:color w:val="000000"/>
          <w:sz w:val="12"/>
          <w:szCs w:val="12"/>
        </w:rPr>
        <w:t xml:space="preserve"> b) Interfor Sales &amp; Marketing Ltd. </w:t>
      </w:r>
      <w:proofErr w:type="gramStart"/>
      <w:r w:rsidR="005A01A8" w:rsidRPr="00DE0902">
        <w:rPr>
          <w:color w:val="000000"/>
          <w:sz w:val="12"/>
          <w:szCs w:val="12"/>
        </w:rPr>
        <w:t>sollicite</w:t>
      </w:r>
      <w:proofErr w:type="gramEnd"/>
      <w:r w:rsidR="005A01A8" w:rsidRPr="00DE0902">
        <w:rPr>
          <w:color w:val="000000"/>
          <w:sz w:val="12"/>
          <w:szCs w:val="12"/>
        </w:rPr>
        <w:t xml:space="preserve"> des </w:t>
      </w:r>
      <w:r w:rsidR="00F12F7E" w:rsidRPr="00DE0902">
        <w:rPr>
          <w:color w:val="000000"/>
          <w:sz w:val="12"/>
          <w:szCs w:val="12"/>
        </w:rPr>
        <w:t>command</w:t>
      </w:r>
      <w:r w:rsidR="005A01A8" w:rsidRPr="00DE0902">
        <w:rPr>
          <w:color w:val="000000"/>
          <w:sz w:val="12"/>
          <w:szCs w:val="12"/>
        </w:rPr>
        <w:t xml:space="preserve">es de </w:t>
      </w:r>
      <w:r w:rsidR="003F3FC3" w:rsidRPr="00DE0902">
        <w:rPr>
          <w:color w:val="000000"/>
          <w:sz w:val="12"/>
          <w:szCs w:val="12"/>
        </w:rPr>
        <w:t>Client</w:t>
      </w:r>
      <w:r w:rsidR="005A01A8" w:rsidRPr="00DE0902">
        <w:rPr>
          <w:color w:val="000000"/>
          <w:sz w:val="12"/>
          <w:szCs w:val="12"/>
        </w:rPr>
        <w:t xml:space="preserve">s </w:t>
      </w:r>
      <w:r w:rsidR="00BD1384" w:rsidRPr="00DE0902">
        <w:rPr>
          <w:color w:val="000000"/>
          <w:sz w:val="12"/>
          <w:szCs w:val="12"/>
        </w:rPr>
        <w:t xml:space="preserve">potentiels </w:t>
      </w:r>
      <w:r w:rsidR="005A01A8" w:rsidRPr="00DE0902">
        <w:rPr>
          <w:color w:val="000000"/>
          <w:sz w:val="12"/>
          <w:szCs w:val="12"/>
        </w:rPr>
        <w:t xml:space="preserve"> pour des </w:t>
      </w:r>
      <w:r w:rsidR="0079793D" w:rsidRPr="00DE0902">
        <w:rPr>
          <w:color w:val="000000"/>
          <w:sz w:val="12"/>
          <w:szCs w:val="12"/>
        </w:rPr>
        <w:t xml:space="preserve">Produits de bois d’œuvre </w:t>
      </w:r>
      <w:r w:rsidR="005A01A8" w:rsidRPr="00DE0902">
        <w:rPr>
          <w:color w:val="000000"/>
          <w:sz w:val="12"/>
          <w:szCs w:val="12"/>
        </w:rPr>
        <w:t>vendus par Interfor U.S. Inc. à l’extérieur de l’Amérique du Nord</w:t>
      </w:r>
      <w:r w:rsidR="001A3A3E">
        <w:rPr>
          <w:color w:val="000000"/>
          <w:sz w:val="12"/>
          <w:szCs w:val="12"/>
        </w:rPr>
        <w:t xml:space="preserve">. </w:t>
      </w:r>
      <w:r w:rsidR="005A01A8" w:rsidRPr="00DE0902">
        <w:rPr>
          <w:color w:val="000000"/>
          <w:sz w:val="12"/>
          <w:szCs w:val="12"/>
        </w:rPr>
        <w:t xml:space="preserve">Dans chaque cas, l’entité qui sollicite les </w:t>
      </w:r>
      <w:r w:rsidR="0091167F" w:rsidRPr="00DE0902">
        <w:rPr>
          <w:color w:val="000000"/>
          <w:sz w:val="12"/>
          <w:szCs w:val="12"/>
        </w:rPr>
        <w:t>command</w:t>
      </w:r>
      <w:r w:rsidR="005A01A8" w:rsidRPr="00DE0902">
        <w:rPr>
          <w:color w:val="000000"/>
          <w:sz w:val="12"/>
          <w:szCs w:val="12"/>
        </w:rPr>
        <w:t xml:space="preserve">es n’a pas le pouvoir (exprès ou implicite) de lier l’entité qui vend les </w:t>
      </w:r>
      <w:r w:rsidR="0091167F" w:rsidRPr="00DE0902">
        <w:rPr>
          <w:color w:val="000000"/>
          <w:sz w:val="12"/>
          <w:szCs w:val="12"/>
        </w:rPr>
        <w:t>p</w:t>
      </w:r>
      <w:r w:rsidR="005A01A8" w:rsidRPr="00DE0902">
        <w:rPr>
          <w:color w:val="000000"/>
          <w:sz w:val="12"/>
          <w:szCs w:val="12"/>
        </w:rPr>
        <w:t>roduits de bois d’</w:t>
      </w:r>
      <w:r w:rsidR="0091167F" w:rsidRPr="00DE0902">
        <w:rPr>
          <w:color w:val="000000"/>
          <w:sz w:val="12"/>
          <w:szCs w:val="12"/>
        </w:rPr>
        <w:t>œuvre</w:t>
      </w:r>
      <w:r w:rsidR="005A01A8" w:rsidRPr="00DE0902">
        <w:rPr>
          <w:color w:val="000000"/>
          <w:sz w:val="12"/>
          <w:szCs w:val="12"/>
        </w:rPr>
        <w:t>. L’entité qui sollicite l</w:t>
      </w:r>
      <w:r w:rsidR="00EC6C4D" w:rsidRPr="00DE0902">
        <w:rPr>
          <w:color w:val="000000"/>
          <w:sz w:val="12"/>
          <w:szCs w:val="12"/>
        </w:rPr>
        <w:t>es</w:t>
      </w:r>
      <w:r w:rsidR="00AE4200" w:rsidRPr="00DE0902">
        <w:rPr>
          <w:color w:val="000000"/>
          <w:sz w:val="12"/>
          <w:szCs w:val="12"/>
        </w:rPr>
        <w:t xml:space="preserve"> commande</w:t>
      </w:r>
      <w:r w:rsidR="00EC6C4D" w:rsidRPr="00DE0902">
        <w:rPr>
          <w:color w:val="000000"/>
          <w:sz w:val="12"/>
          <w:szCs w:val="12"/>
        </w:rPr>
        <w:t>s</w:t>
      </w:r>
      <w:r w:rsidR="005A01A8" w:rsidRPr="00DE0902">
        <w:rPr>
          <w:color w:val="000000"/>
          <w:sz w:val="12"/>
          <w:szCs w:val="12"/>
        </w:rPr>
        <w:t xml:space="preserve"> ne fait aucune déclaration selon laquelle une </w:t>
      </w:r>
      <w:r w:rsidR="00AE4200" w:rsidRPr="00DE0902">
        <w:rPr>
          <w:color w:val="000000"/>
          <w:sz w:val="12"/>
          <w:szCs w:val="12"/>
        </w:rPr>
        <w:t>command</w:t>
      </w:r>
      <w:r w:rsidR="005A01A8" w:rsidRPr="00DE0902">
        <w:rPr>
          <w:color w:val="000000"/>
          <w:sz w:val="12"/>
          <w:szCs w:val="12"/>
        </w:rPr>
        <w:t xml:space="preserve">e sera acceptée par l’entité qui vend les </w:t>
      </w:r>
      <w:r w:rsidR="001638F1" w:rsidRPr="00DE0902">
        <w:rPr>
          <w:color w:val="000000"/>
          <w:sz w:val="12"/>
          <w:szCs w:val="12"/>
        </w:rPr>
        <w:t>P</w:t>
      </w:r>
      <w:r w:rsidR="005A01A8" w:rsidRPr="00DE0902">
        <w:rPr>
          <w:color w:val="000000"/>
          <w:sz w:val="12"/>
          <w:szCs w:val="12"/>
        </w:rPr>
        <w:t>roduits de bois d’</w:t>
      </w:r>
      <w:r w:rsidR="00AE4200" w:rsidRPr="00DE0902">
        <w:rPr>
          <w:color w:val="000000"/>
          <w:sz w:val="12"/>
          <w:szCs w:val="12"/>
        </w:rPr>
        <w:t>œuvre</w:t>
      </w:r>
      <w:r w:rsidR="005A01A8" w:rsidRPr="00DE0902">
        <w:rPr>
          <w:color w:val="000000"/>
          <w:sz w:val="12"/>
          <w:szCs w:val="12"/>
        </w:rPr>
        <w:t xml:space="preserve">. Aucun contrat ne peut survenir tant que l’entité qui vend les </w:t>
      </w:r>
      <w:r w:rsidR="0079793D" w:rsidRPr="00DE0902">
        <w:rPr>
          <w:color w:val="000000"/>
          <w:sz w:val="12"/>
          <w:szCs w:val="12"/>
        </w:rPr>
        <w:t xml:space="preserve">Produits de bois d’œuvre </w:t>
      </w:r>
      <w:r w:rsidR="005A01A8" w:rsidRPr="00DE0902">
        <w:rPr>
          <w:color w:val="000000"/>
          <w:sz w:val="12"/>
          <w:szCs w:val="12"/>
        </w:rPr>
        <w:t xml:space="preserve">n’a pas accepté la commande et n’a pas remis au </w:t>
      </w:r>
      <w:r w:rsidR="003F3FC3" w:rsidRPr="00DE0902">
        <w:rPr>
          <w:color w:val="000000"/>
          <w:sz w:val="12"/>
          <w:szCs w:val="12"/>
        </w:rPr>
        <w:t>Client</w:t>
      </w:r>
      <w:r w:rsidR="005A01A8" w:rsidRPr="00DE0902">
        <w:rPr>
          <w:color w:val="000000"/>
          <w:sz w:val="12"/>
          <w:szCs w:val="12"/>
        </w:rPr>
        <w:t xml:space="preserve"> une acceptation d’offre et un contrat de vente.</w:t>
      </w:r>
    </w:p>
    <w:p w14:paraId="7D9A4F16" w14:textId="41C5EE26" w:rsidR="005A01A8" w:rsidRPr="00A83CE0" w:rsidRDefault="005A01A8" w:rsidP="00A83CE0">
      <w:pPr>
        <w:pStyle w:val="ListParagraph"/>
        <w:numPr>
          <w:ilvl w:val="0"/>
          <w:numId w:val="2"/>
        </w:numPr>
        <w:tabs>
          <w:tab w:val="left" w:pos="652"/>
        </w:tabs>
        <w:spacing w:after="120"/>
        <w:ind w:left="113" w:right="39"/>
        <w:rPr>
          <w:sz w:val="12"/>
          <w:szCs w:val="12"/>
        </w:rPr>
      </w:pPr>
      <w:r w:rsidRPr="00A83CE0">
        <w:rPr>
          <w:b/>
          <w:color w:val="000000"/>
          <w:sz w:val="12"/>
          <w:szCs w:val="12"/>
        </w:rPr>
        <w:t>PRIX ET PAIEMENT</w:t>
      </w:r>
      <w:r w:rsidRPr="00A83CE0">
        <w:rPr>
          <w:color w:val="000000"/>
          <w:sz w:val="12"/>
          <w:szCs w:val="12"/>
        </w:rPr>
        <w:t xml:space="preserve">. Le </w:t>
      </w:r>
      <w:r w:rsidR="003F3FC3">
        <w:rPr>
          <w:color w:val="000000"/>
          <w:sz w:val="12"/>
          <w:szCs w:val="12"/>
        </w:rPr>
        <w:t>Client</w:t>
      </w:r>
      <w:r w:rsidRPr="00A83CE0">
        <w:rPr>
          <w:color w:val="000000"/>
          <w:sz w:val="12"/>
          <w:szCs w:val="12"/>
        </w:rPr>
        <w:t xml:space="preserve"> paiera le montant total (le « </w:t>
      </w:r>
      <w:r w:rsidR="003F3FC3">
        <w:rPr>
          <w:b/>
          <w:color w:val="000000"/>
          <w:sz w:val="12"/>
          <w:szCs w:val="12"/>
        </w:rPr>
        <w:t>Prix</w:t>
      </w:r>
      <w:r w:rsidRPr="00A83CE0">
        <w:rPr>
          <w:color w:val="000000"/>
          <w:sz w:val="12"/>
          <w:szCs w:val="12"/>
        </w:rPr>
        <w:t xml:space="preserve"> ») des </w:t>
      </w:r>
      <w:r w:rsidR="0079793D">
        <w:rPr>
          <w:color w:val="000000"/>
          <w:sz w:val="12"/>
          <w:szCs w:val="12"/>
        </w:rPr>
        <w:t xml:space="preserve">Produits de bois d’œuvre </w:t>
      </w:r>
      <w:r w:rsidRPr="00A83CE0">
        <w:rPr>
          <w:color w:val="000000"/>
          <w:sz w:val="12"/>
          <w:szCs w:val="12"/>
        </w:rPr>
        <w:t xml:space="preserve">indiqués dans le </w:t>
      </w:r>
      <w:r w:rsidR="00226E88">
        <w:rPr>
          <w:color w:val="000000"/>
          <w:sz w:val="12"/>
          <w:szCs w:val="12"/>
        </w:rPr>
        <w:t>C</w:t>
      </w:r>
      <w:r w:rsidRPr="00A83CE0">
        <w:rPr>
          <w:color w:val="000000"/>
          <w:sz w:val="12"/>
          <w:szCs w:val="12"/>
        </w:rPr>
        <w:t xml:space="preserve">ontrat de vente. Le </w:t>
      </w:r>
      <w:r w:rsidR="003F3FC3">
        <w:rPr>
          <w:color w:val="000000"/>
          <w:sz w:val="12"/>
          <w:szCs w:val="12"/>
        </w:rPr>
        <w:t>Prix</w:t>
      </w:r>
      <w:r w:rsidRPr="00A83CE0">
        <w:rPr>
          <w:color w:val="000000"/>
          <w:sz w:val="12"/>
          <w:szCs w:val="12"/>
        </w:rPr>
        <w:t xml:space="preserve"> ne comprend pas les </w:t>
      </w:r>
      <w:r w:rsidR="002E17B3">
        <w:rPr>
          <w:color w:val="000000"/>
          <w:sz w:val="12"/>
          <w:szCs w:val="12"/>
        </w:rPr>
        <w:t xml:space="preserve">impôts et </w:t>
      </w:r>
      <w:r w:rsidRPr="00A83CE0">
        <w:rPr>
          <w:color w:val="000000"/>
          <w:sz w:val="12"/>
          <w:szCs w:val="12"/>
        </w:rPr>
        <w:t xml:space="preserve">taxes </w:t>
      </w:r>
      <w:r w:rsidR="002E17B3">
        <w:rPr>
          <w:color w:val="000000"/>
          <w:sz w:val="12"/>
          <w:szCs w:val="12"/>
        </w:rPr>
        <w:t xml:space="preserve">applicables </w:t>
      </w:r>
      <w:r w:rsidRPr="00A83CE0">
        <w:rPr>
          <w:color w:val="000000"/>
          <w:sz w:val="12"/>
          <w:szCs w:val="12"/>
        </w:rPr>
        <w:t xml:space="preserve">de vente, d’utilisation ou de valeur ajoutée, les droits de douane ou les autres </w:t>
      </w:r>
      <w:r w:rsidR="00015EBF">
        <w:rPr>
          <w:color w:val="000000"/>
          <w:sz w:val="12"/>
          <w:szCs w:val="12"/>
        </w:rPr>
        <w:t xml:space="preserve">impôts ou </w:t>
      </w:r>
      <w:r w:rsidRPr="00A83CE0">
        <w:rPr>
          <w:color w:val="000000"/>
          <w:sz w:val="12"/>
          <w:szCs w:val="12"/>
        </w:rPr>
        <w:t xml:space="preserve">taxes, </w:t>
      </w:r>
      <w:r w:rsidR="00015EBF">
        <w:rPr>
          <w:color w:val="000000"/>
          <w:sz w:val="12"/>
          <w:szCs w:val="12"/>
        </w:rPr>
        <w:t>charges</w:t>
      </w:r>
      <w:r w:rsidRPr="00A83CE0">
        <w:rPr>
          <w:color w:val="000000"/>
          <w:sz w:val="12"/>
          <w:szCs w:val="12"/>
        </w:rPr>
        <w:t xml:space="preserve">, </w:t>
      </w:r>
      <w:r w:rsidR="00AA7838">
        <w:rPr>
          <w:color w:val="000000"/>
          <w:sz w:val="12"/>
          <w:szCs w:val="12"/>
        </w:rPr>
        <w:t xml:space="preserve">frais, </w:t>
      </w:r>
      <w:r w:rsidRPr="00A83CE0">
        <w:rPr>
          <w:color w:val="000000"/>
          <w:sz w:val="12"/>
          <w:szCs w:val="12"/>
        </w:rPr>
        <w:t xml:space="preserve">tarifs ou droits de quelque nature </w:t>
      </w:r>
      <w:r w:rsidR="006B698E">
        <w:rPr>
          <w:color w:val="000000"/>
          <w:sz w:val="12"/>
          <w:szCs w:val="12"/>
        </w:rPr>
        <w:t>imposés, prélevé</w:t>
      </w:r>
      <w:r w:rsidR="008152BF">
        <w:rPr>
          <w:color w:val="000000"/>
          <w:sz w:val="12"/>
          <w:szCs w:val="12"/>
        </w:rPr>
        <w:t xml:space="preserve">s ou </w:t>
      </w:r>
      <w:r w:rsidRPr="00A83CE0">
        <w:rPr>
          <w:color w:val="000000"/>
          <w:sz w:val="12"/>
          <w:szCs w:val="12"/>
        </w:rPr>
        <w:t xml:space="preserve">perçus ou pouvant être </w:t>
      </w:r>
      <w:r w:rsidR="008152BF">
        <w:rPr>
          <w:color w:val="000000"/>
          <w:sz w:val="12"/>
          <w:szCs w:val="12"/>
        </w:rPr>
        <w:t xml:space="preserve">imposés, prélevés ou </w:t>
      </w:r>
      <w:r w:rsidRPr="00A83CE0">
        <w:rPr>
          <w:color w:val="000000"/>
          <w:sz w:val="12"/>
          <w:szCs w:val="12"/>
        </w:rPr>
        <w:t xml:space="preserve">perçus par un organisme </w:t>
      </w:r>
      <w:r w:rsidR="00223777">
        <w:rPr>
          <w:color w:val="000000"/>
          <w:sz w:val="12"/>
          <w:szCs w:val="12"/>
        </w:rPr>
        <w:t xml:space="preserve">ou une autorité </w:t>
      </w:r>
      <w:r w:rsidRPr="00A83CE0">
        <w:rPr>
          <w:color w:val="000000"/>
          <w:sz w:val="12"/>
          <w:szCs w:val="12"/>
        </w:rPr>
        <w:t>gouvernemental</w:t>
      </w:r>
      <w:r w:rsidR="0047791A">
        <w:rPr>
          <w:color w:val="000000"/>
          <w:sz w:val="12"/>
          <w:szCs w:val="12"/>
        </w:rPr>
        <w:t>e</w:t>
      </w:r>
      <w:r w:rsidRPr="00A83CE0">
        <w:rPr>
          <w:color w:val="000000"/>
          <w:sz w:val="12"/>
          <w:szCs w:val="12"/>
        </w:rPr>
        <w:t xml:space="preserve"> ou fiscal</w:t>
      </w:r>
      <w:r w:rsidR="0047791A">
        <w:rPr>
          <w:color w:val="000000"/>
          <w:sz w:val="12"/>
          <w:szCs w:val="12"/>
        </w:rPr>
        <w:t>e</w:t>
      </w:r>
      <w:r w:rsidR="00223777">
        <w:rPr>
          <w:color w:val="000000"/>
          <w:sz w:val="12"/>
          <w:szCs w:val="12"/>
        </w:rPr>
        <w:t xml:space="preserve"> </w:t>
      </w:r>
      <w:r w:rsidRPr="00A83CE0">
        <w:rPr>
          <w:color w:val="000000"/>
          <w:sz w:val="12"/>
          <w:szCs w:val="12"/>
        </w:rPr>
        <w:t xml:space="preserve">à l’achat, à l’exportation, à l’importation, à la livraison, à la consommation ou à l’utilisation des </w:t>
      </w:r>
      <w:r w:rsidR="0079793D">
        <w:rPr>
          <w:color w:val="000000"/>
          <w:sz w:val="12"/>
          <w:szCs w:val="12"/>
        </w:rPr>
        <w:t xml:space="preserve">Produits de bois d’œuvre </w:t>
      </w:r>
      <w:r w:rsidRPr="00A83CE0">
        <w:rPr>
          <w:color w:val="000000"/>
          <w:sz w:val="12"/>
          <w:szCs w:val="12"/>
        </w:rPr>
        <w:t>(les « </w:t>
      </w:r>
      <w:r w:rsidR="003F3FC3">
        <w:rPr>
          <w:b/>
          <w:color w:val="000000"/>
          <w:sz w:val="12"/>
          <w:szCs w:val="12"/>
        </w:rPr>
        <w:t>Taxes</w:t>
      </w:r>
      <w:r w:rsidRPr="00A83CE0">
        <w:rPr>
          <w:color w:val="000000"/>
          <w:sz w:val="12"/>
          <w:szCs w:val="12"/>
        </w:rPr>
        <w:t> »), sauf les droits à l’importation précisés à l</w:t>
      </w:r>
      <w:r w:rsidR="00CA6703">
        <w:rPr>
          <w:color w:val="000000"/>
          <w:sz w:val="12"/>
          <w:szCs w:val="12"/>
        </w:rPr>
        <w:t>a c</w:t>
      </w:r>
      <w:r w:rsidR="00F35C78">
        <w:rPr>
          <w:color w:val="000000"/>
          <w:sz w:val="12"/>
          <w:szCs w:val="12"/>
        </w:rPr>
        <w:t>lause</w:t>
      </w:r>
      <w:r w:rsidRPr="00A83CE0">
        <w:rPr>
          <w:color w:val="000000"/>
          <w:sz w:val="12"/>
          <w:szCs w:val="12"/>
        </w:rPr>
        <w:t xml:space="preserve"> </w:t>
      </w:r>
      <w:hyperlink w:anchor="_bookmark0" w:history="1">
        <w:r w:rsidRPr="00A83CE0">
          <w:rPr>
            <w:color w:val="000000"/>
            <w:sz w:val="12"/>
            <w:szCs w:val="12"/>
          </w:rPr>
          <w:t>6.</w:t>
        </w:r>
      </w:hyperlink>
      <w:r w:rsidRPr="00A83CE0">
        <w:rPr>
          <w:color w:val="000000"/>
          <w:sz w:val="12"/>
          <w:szCs w:val="12"/>
        </w:rPr>
        <w:t xml:space="preserve"> Interfor a le droit de facturer</w:t>
      </w:r>
      <w:r w:rsidR="00A91371">
        <w:rPr>
          <w:color w:val="000000"/>
          <w:sz w:val="12"/>
          <w:szCs w:val="12"/>
        </w:rPr>
        <w:t xml:space="preserve"> des </w:t>
      </w:r>
      <w:r w:rsidR="003F3FC3">
        <w:rPr>
          <w:color w:val="000000"/>
          <w:sz w:val="12"/>
          <w:szCs w:val="12"/>
        </w:rPr>
        <w:t>Taxes</w:t>
      </w:r>
      <w:r w:rsidR="00A91371">
        <w:rPr>
          <w:color w:val="000000"/>
          <w:sz w:val="12"/>
          <w:szCs w:val="12"/>
        </w:rPr>
        <w:t xml:space="preserve"> que</w:t>
      </w:r>
      <w:r w:rsidRPr="00A83CE0">
        <w:rPr>
          <w:color w:val="000000"/>
          <w:sz w:val="12"/>
          <w:szCs w:val="12"/>
        </w:rPr>
        <w:t xml:space="preserve"> le </w:t>
      </w:r>
      <w:r w:rsidR="003F3FC3">
        <w:rPr>
          <w:color w:val="000000"/>
          <w:sz w:val="12"/>
          <w:szCs w:val="12"/>
        </w:rPr>
        <w:t>Client</w:t>
      </w:r>
      <w:r w:rsidRPr="00A83CE0">
        <w:rPr>
          <w:color w:val="000000"/>
          <w:sz w:val="12"/>
          <w:szCs w:val="12"/>
        </w:rPr>
        <w:t xml:space="preserve"> doit payer, à moins que le </w:t>
      </w:r>
      <w:r w:rsidR="003F3FC3">
        <w:rPr>
          <w:color w:val="000000"/>
          <w:sz w:val="12"/>
          <w:szCs w:val="12"/>
        </w:rPr>
        <w:t>Client</w:t>
      </w:r>
      <w:r w:rsidRPr="00A83CE0">
        <w:rPr>
          <w:color w:val="000000"/>
          <w:sz w:val="12"/>
          <w:szCs w:val="12"/>
        </w:rPr>
        <w:t xml:space="preserve"> ne fournisse à </w:t>
      </w:r>
      <w:r w:rsidR="0045757C">
        <w:rPr>
          <w:color w:val="000000"/>
          <w:sz w:val="12"/>
          <w:szCs w:val="12"/>
        </w:rPr>
        <w:t>la satisfaction d’</w:t>
      </w:r>
      <w:r w:rsidRPr="00A83CE0">
        <w:rPr>
          <w:color w:val="000000"/>
          <w:sz w:val="12"/>
          <w:szCs w:val="12"/>
        </w:rPr>
        <w:t xml:space="preserve">Interfor un certificat de revendeur valide ou une autre </w:t>
      </w:r>
      <w:r w:rsidR="001614B7">
        <w:rPr>
          <w:color w:val="000000"/>
          <w:sz w:val="12"/>
          <w:szCs w:val="12"/>
        </w:rPr>
        <w:t xml:space="preserve">exonération </w:t>
      </w:r>
      <w:r w:rsidRPr="00A83CE0">
        <w:rPr>
          <w:color w:val="000000"/>
          <w:sz w:val="12"/>
          <w:szCs w:val="12"/>
        </w:rPr>
        <w:t xml:space="preserve">pour ces </w:t>
      </w:r>
      <w:r w:rsidR="003F3FC3">
        <w:rPr>
          <w:color w:val="000000"/>
          <w:sz w:val="12"/>
          <w:szCs w:val="12"/>
        </w:rPr>
        <w:t>Taxes</w:t>
      </w:r>
      <w:r w:rsidRPr="00A83CE0">
        <w:rPr>
          <w:color w:val="000000"/>
          <w:sz w:val="12"/>
          <w:szCs w:val="12"/>
        </w:rPr>
        <w:t xml:space="preserve"> dans l’État ou les États dans lesquels les </w:t>
      </w:r>
      <w:r w:rsidR="0079793D">
        <w:rPr>
          <w:color w:val="000000"/>
          <w:sz w:val="12"/>
          <w:szCs w:val="12"/>
        </w:rPr>
        <w:t xml:space="preserve">Produits de bois d’œuvre </w:t>
      </w:r>
      <w:r w:rsidRPr="00A83CE0">
        <w:rPr>
          <w:color w:val="000000"/>
          <w:sz w:val="12"/>
          <w:szCs w:val="12"/>
        </w:rPr>
        <w:t xml:space="preserve">sont livrés au </w:t>
      </w:r>
      <w:r w:rsidR="003F3FC3">
        <w:rPr>
          <w:color w:val="000000"/>
          <w:sz w:val="12"/>
          <w:szCs w:val="12"/>
        </w:rPr>
        <w:t>Client</w:t>
      </w:r>
      <w:r w:rsidRPr="00A83CE0">
        <w:rPr>
          <w:color w:val="000000"/>
          <w:sz w:val="12"/>
          <w:szCs w:val="12"/>
        </w:rPr>
        <w:t>. Si Interfor ne facture pas d</w:t>
      </w:r>
      <w:r w:rsidR="001614B7">
        <w:rPr>
          <w:color w:val="000000"/>
          <w:sz w:val="12"/>
          <w:szCs w:val="12"/>
        </w:rPr>
        <w:t xml:space="preserve">e </w:t>
      </w:r>
      <w:r w:rsidR="003F3FC3">
        <w:rPr>
          <w:color w:val="000000"/>
          <w:sz w:val="12"/>
          <w:szCs w:val="12"/>
        </w:rPr>
        <w:t>Taxes</w:t>
      </w:r>
      <w:r w:rsidRPr="00A83CE0">
        <w:rPr>
          <w:color w:val="000000"/>
          <w:sz w:val="12"/>
          <w:szCs w:val="12"/>
        </w:rPr>
        <w:t xml:space="preserve">, le </w:t>
      </w:r>
      <w:r w:rsidR="003F3FC3">
        <w:rPr>
          <w:color w:val="000000"/>
          <w:sz w:val="12"/>
          <w:szCs w:val="12"/>
        </w:rPr>
        <w:t>Client</w:t>
      </w:r>
      <w:r w:rsidRPr="00A83CE0">
        <w:rPr>
          <w:color w:val="000000"/>
          <w:sz w:val="12"/>
          <w:szCs w:val="12"/>
        </w:rPr>
        <w:t xml:space="preserve"> sera entièrement responsable de ces </w:t>
      </w:r>
      <w:r w:rsidR="003F3FC3">
        <w:rPr>
          <w:color w:val="000000"/>
          <w:sz w:val="12"/>
          <w:szCs w:val="12"/>
        </w:rPr>
        <w:t>Taxes</w:t>
      </w:r>
      <w:r w:rsidRPr="00A83CE0">
        <w:rPr>
          <w:color w:val="000000"/>
          <w:sz w:val="12"/>
          <w:szCs w:val="12"/>
        </w:rPr>
        <w:t xml:space="preserve">. Interfor peut payer des </w:t>
      </w:r>
      <w:r w:rsidR="003F3FC3">
        <w:rPr>
          <w:color w:val="000000"/>
          <w:sz w:val="12"/>
          <w:szCs w:val="12"/>
        </w:rPr>
        <w:t>Taxes</w:t>
      </w:r>
      <w:r w:rsidRPr="00A83CE0">
        <w:rPr>
          <w:color w:val="000000"/>
          <w:sz w:val="12"/>
          <w:szCs w:val="12"/>
        </w:rPr>
        <w:t xml:space="preserve"> directement à l’</w:t>
      </w:r>
      <w:r w:rsidR="00431E8C">
        <w:rPr>
          <w:color w:val="000000"/>
          <w:sz w:val="12"/>
          <w:szCs w:val="12"/>
        </w:rPr>
        <w:t>organisme</w:t>
      </w:r>
      <w:r w:rsidRPr="00A83CE0">
        <w:rPr>
          <w:color w:val="000000"/>
          <w:sz w:val="12"/>
          <w:szCs w:val="12"/>
        </w:rPr>
        <w:t xml:space="preserve"> ou à l’autorité gouvernemental</w:t>
      </w:r>
      <w:r w:rsidR="003714E9">
        <w:rPr>
          <w:color w:val="000000"/>
          <w:sz w:val="12"/>
          <w:szCs w:val="12"/>
        </w:rPr>
        <w:t>e</w:t>
      </w:r>
      <w:r w:rsidRPr="00A83CE0">
        <w:rPr>
          <w:color w:val="000000"/>
          <w:sz w:val="12"/>
          <w:szCs w:val="12"/>
        </w:rPr>
        <w:t xml:space="preserve"> compétent</w:t>
      </w:r>
      <w:r w:rsidR="003714E9">
        <w:rPr>
          <w:color w:val="000000"/>
          <w:sz w:val="12"/>
          <w:szCs w:val="12"/>
        </w:rPr>
        <w:t>e</w:t>
      </w:r>
      <w:r w:rsidRPr="00A83CE0">
        <w:rPr>
          <w:color w:val="000000"/>
          <w:sz w:val="12"/>
          <w:szCs w:val="12"/>
        </w:rPr>
        <w:t xml:space="preserve">, auquel cas le </w:t>
      </w:r>
      <w:r w:rsidR="003F3FC3">
        <w:rPr>
          <w:color w:val="000000"/>
          <w:sz w:val="12"/>
          <w:szCs w:val="12"/>
        </w:rPr>
        <w:t>Client</w:t>
      </w:r>
      <w:r w:rsidRPr="00A83CE0">
        <w:rPr>
          <w:color w:val="000000"/>
          <w:sz w:val="12"/>
          <w:szCs w:val="12"/>
        </w:rPr>
        <w:t xml:space="preserve"> remboursera </w:t>
      </w:r>
      <w:r w:rsidR="00431E8C">
        <w:rPr>
          <w:color w:val="000000"/>
          <w:sz w:val="12"/>
          <w:szCs w:val="12"/>
        </w:rPr>
        <w:t xml:space="preserve">à </w:t>
      </w:r>
      <w:r w:rsidRPr="00A83CE0">
        <w:rPr>
          <w:color w:val="000000"/>
          <w:sz w:val="12"/>
          <w:szCs w:val="12"/>
        </w:rPr>
        <w:t xml:space="preserve">Interfor </w:t>
      </w:r>
      <w:r w:rsidR="00431E8C">
        <w:rPr>
          <w:color w:val="000000"/>
          <w:sz w:val="12"/>
          <w:szCs w:val="12"/>
        </w:rPr>
        <w:t>le</w:t>
      </w:r>
      <w:r w:rsidRPr="00A83CE0">
        <w:rPr>
          <w:color w:val="000000"/>
          <w:sz w:val="12"/>
          <w:szCs w:val="12"/>
        </w:rPr>
        <w:t xml:space="preserve"> montant des </w:t>
      </w:r>
      <w:r w:rsidR="003F3FC3">
        <w:rPr>
          <w:color w:val="000000"/>
          <w:sz w:val="12"/>
          <w:szCs w:val="12"/>
        </w:rPr>
        <w:t>Taxes</w:t>
      </w:r>
      <w:r w:rsidRPr="00A83CE0">
        <w:rPr>
          <w:color w:val="000000"/>
          <w:sz w:val="12"/>
          <w:szCs w:val="12"/>
        </w:rPr>
        <w:t xml:space="preserve"> ainsi payé</w:t>
      </w:r>
      <w:r w:rsidR="00431E8C">
        <w:rPr>
          <w:color w:val="000000"/>
          <w:sz w:val="12"/>
          <w:szCs w:val="12"/>
        </w:rPr>
        <w:t>e</w:t>
      </w:r>
      <w:r w:rsidRPr="00A83CE0">
        <w:rPr>
          <w:color w:val="000000"/>
          <w:sz w:val="12"/>
          <w:szCs w:val="12"/>
        </w:rPr>
        <w:t xml:space="preserve">s par Interfor. À moins d’indication contraire dans le </w:t>
      </w:r>
      <w:r w:rsidR="00E044A1">
        <w:rPr>
          <w:color w:val="000000"/>
          <w:sz w:val="12"/>
          <w:szCs w:val="12"/>
        </w:rPr>
        <w:t>C</w:t>
      </w:r>
      <w:r w:rsidRPr="00A83CE0">
        <w:rPr>
          <w:color w:val="000000"/>
          <w:sz w:val="12"/>
          <w:szCs w:val="12"/>
        </w:rPr>
        <w:t xml:space="preserve">ontrat de vente, le </w:t>
      </w:r>
      <w:r w:rsidR="003F3FC3">
        <w:rPr>
          <w:color w:val="000000"/>
          <w:sz w:val="12"/>
          <w:szCs w:val="12"/>
        </w:rPr>
        <w:t>Client</w:t>
      </w:r>
      <w:r w:rsidRPr="00A83CE0">
        <w:rPr>
          <w:color w:val="000000"/>
          <w:sz w:val="12"/>
          <w:szCs w:val="12"/>
        </w:rPr>
        <w:t xml:space="preserve"> paie le </w:t>
      </w:r>
      <w:r w:rsidR="003F3FC3">
        <w:rPr>
          <w:color w:val="000000"/>
          <w:sz w:val="12"/>
          <w:szCs w:val="12"/>
        </w:rPr>
        <w:t>Prix</w:t>
      </w:r>
      <w:r w:rsidRPr="00A83CE0">
        <w:rPr>
          <w:color w:val="000000"/>
          <w:sz w:val="12"/>
          <w:szCs w:val="12"/>
        </w:rPr>
        <w:t xml:space="preserve"> et les autres montants payables aux termes de la </w:t>
      </w:r>
      <w:r w:rsidR="00292D2B">
        <w:rPr>
          <w:color w:val="000000"/>
          <w:sz w:val="12"/>
          <w:szCs w:val="12"/>
        </w:rPr>
        <w:t>Convention</w:t>
      </w:r>
      <w:r w:rsidRPr="00A83CE0">
        <w:rPr>
          <w:color w:val="000000"/>
          <w:sz w:val="12"/>
          <w:szCs w:val="12"/>
        </w:rPr>
        <w:t xml:space="preserve"> comme il est indiqué dans chaque facture dans les dix (10) jours suivant la date d’émission de la facture d’Interfor. Les paiements par le </w:t>
      </w:r>
      <w:r w:rsidR="003F3FC3">
        <w:rPr>
          <w:color w:val="000000"/>
          <w:sz w:val="12"/>
          <w:szCs w:val="12"/>
        </w:rPr>
        <w:t>Client</w:t>
      </w:r>
      <w:r w:rsidRPr="00A83CE0">
        <w:rPr>
          <w:color w:val="000000"/>
          <w:sz w:val="12"/>
          <w:szCs w:val="12"/>
        </w:rPr>
        <w:t xml:space="preserve"> à Interfor seront dans la devise indiquée dans le </w:t>
      </w:r>
      <w:r w:rsidR="002E6446">
        <w:rPr>
          <w:color w:val="000000"/>
          <w:sz w:val="12"/>
          <w:szCs w:val="12"/>
        </w:rPr>
        <w:t>C</w:t>
      </w:r>
      <w:r w:rsidRPr="00A83CE0">
        <w:rPr>
          <w:color w:val="000000"/>
          <w:sz w:val="12"/>
          <w:szCs w:val="12"/>
        </w:rPr>
        <w:t xml:space="preserve">ontrat de vente. Le </w:t>
      </w:r>
      <w:r w:rsidR="003F3FC3">
        <w:rPr>
          <w:color w:val="000000"/>
          <w:sz w:val="12"/>
          <w:szCs w:val="12"/>
        </w:rPr>
        <w:t>Client</w:t>
      </w:r>
      <w:r w:rsidRPr="00A83CE0">
        <w:rPr>
          <w:color w:val="000000"/>
          <w:sz w:val="12"/>
          <w:szCs w:val="12"/>
        </w:rPr>
        <w:t xml:space="preserve"> ne </w:t>
      </w:r>
      <w:r w:rsidR="002E6446">
        <w:rPr>
          <w:color w:val="000000"/>
          <w:sz w:val="12"/>
          <w:szCs w:val="12"/>
        </w:rPr>
        <w:t>pourra en aucun cas retenir</w:t>
      </w:r>
      <w:r w:rsidR="00986EF1">
        <w:rPr>
          <w:color w:val="000000"/>
          <w:sz w:val="12"/>
          <w:szCs w:val="12"/>
        </w:rPr>
        <w:t>, déduire</w:t>
      </w:r>
      <w:r w:rsidR="002E6446">
        <w:rPr>
          <w:color w:val="000000"/>
          <w:sz w:val="12"/>
          <w:szCs w:val="12"/>
        </w:rPr>
        <w:t xml:space="preserve"> </w:t>
      </w:r>
      <w:r w:rsidR="000D1620">
        <w:rPr>
          <w:color w:val="000000"/>
          <w:sz w:val="12"/>
          <w:szCs w:val="12"/>
        </w:rPr>
        <w:t>ou</w:t>
      </w:r>
      <w:r w:rsidR="002E6446">
        <w:rPr>
          <w:color w:val="000000"/>
          <w:sz w:val="12"/>
          <w:szCs w:val="12"/>
        </w:rPr>
        <w:t xml:space="preserve"> compenser</w:t>
      </w:r>
      <w:r w:rsidR="00CF683B">
        <w:rPr>
          <w:color w:val="000000"/>
          <w:sz w:val="12"/>
          <w:szCs w:val="12"/>
        </w:rPr>
        <w:t xml:space="preserve"> un</w:t>
      </w:r>
      <w:r w:rsidR="002E6446">
        <w:rPr>
          <w:color w:val="000000"/>
          <w:sz w:val="12"/>
          <w:szCs w:val="12"/>
        </w:rPr>
        <w:t xml:space="preserve"> </w:t>
      </w:r>
      <w:r w:rsidR="009A5D3B">
        <w:rPr>
          <w:color w:val="000000"/>
          <w:sz w:val="12"/>
          <w:szCs w:val="12"/>
        </w:rPr>
        <w:t>montant</w:t>
      </w:r>
      <w:r w:rsidRPr="00A83CE0">
        <w:rPr>
          <w:color w:val="000000"/>
          <w:sz w:val="12"/>
          <w:szCs w:val="12"/>
        </w:rPr>
        <w:t xml:space="preserve"> d</w:t>
      </w:r>
      <w:r w:rsidR="00CF322C">
        <w:rPr>
          <w:color w:val="000000"/>
          <w:sz w:val="12"/>
          <w:szCs w:val="12"/>
        </w:rPr>
        <w:t>û</w:t>
      </w:r>
      <w:r w:rsidRPr="00A83CE0">
        <w:rPr>
          <w:color w:val="000000"/>
          <w:sz w:val="12"/>
          <w:szCs w:val="12"/>
        </w:rPr>
        <w:t xml:space="preserve"> à Interfor en règlement de réclamations </w:t>
      </w:r>
      <w:r w:rsidR="00986EF1">
        <w:rPr>
          <w:color w:val="000000"/>
          <w:sz w:val="12"/>
          <w:szCs w:val="12"/>
        </w:rPr>
        <w:t xml:space="preserve">alléguées </w:t>
      </w:r>
      <w:r w:rsidR="008E022C">
        <w:rPr>
          <w:color w:val="000000"/>
          <w:sz w:val="12"/>
          <w:szCs w:val="12"/>
        </w:rPr>
        <w:t xml:space="preserve">ou présentées par </w:t>
      </w:r>
      <w:r w:rsidR="00977CED">
        <w:rPr>
          <w:color w:val="000000"/>
          <w:sz w:val="12"/>
          <w:szCs w:val="12"/>
        </w:rPr>
        <w:t xml:space="preserve">le </w:t>
      </w:r>
      <w:r w:rsidR="00977CED" w:rsidRPr="00A83CE0">
        <w:rPr>
          <w:color w:val="000000"/>
          <w:sz w:val="12"/>
          <w:szCs w:val="12"/>
        </w:rPr>
        <w:t>Client</w:t>
      </w:r>
      <w:r w:rsidR="003B26EE">
        <w:rPr>
          <w:color w:val="000000"/>
          <w:sz w:val="12"/>
          <w:szCs w:val="12"/>
        </w:rPr>
        <w:t xml:space="preserve"> </w:t>
      </w:r>
      <w:r w:rsidR="00091D0B">
        <w:rPr>
          <w:color w:val="000000"/>
          <w:sz w:val="12"/>
          <w:szCs w:val="12"/>
        </w:rPr>
        <w:t>à l’en</w:t>
      </w:r>
      <w:r w:rsidRPr="00A83CE0">
        <w:rPr>
          <w:color w:val="000000"/>
          <w:sz w:val="12"/>
          <w:szCs w:val="12"/>
        </w:rPr>
        <w:t xml:space="preserve">contre </w:t>
      </w:r>
      <w:r w:rsidR="00091D0B">
        <w:rPr>
          <w:color w:val="000000"/>
          <w:sz w:val="12"/>
          <w:szCs w:val="12"/>
        </w:rPr>
        <w:t>d’</w:t>
      </w:r>
      <w:r w:rsidRPr="00A83CE0">
        <w:rPr>
          <w:color w:val="000000"/>
          <w:sz w:val="12"/>
          <w:szCs w:val="12"/>
        </w:rPr>
        <w:t>Interfor.</w:t>
      </w:r>
    </w:p>
    <w:p w14:paraId="11F6960C" w14:textId="32B4D166" w:rsidR="005A01A8" w:rsidRPr="00A83CE0" w:rsidRDefault="005A01A8" w:rsidP="00A83CE0">
      <w:pPr>
        <w:pStyle w:val="ListParagraph"/>
        <w:numPr>
          <w:ilvl w:val="0"/>
          <w:numId w:val="2"/>
        </w:numPr>
        <w:tabs>
          <w:tab w:val="left" w:pos="652"/>
        </w:tabs>
        <w:spacing w:after="120"/>
        <w:ind w:left="113" w:right="39"/>
        <w:rPr>
          <w:sz w:val="12"/>
          <w:szCs w:val="12"/>
        </w:rPr>
      </w:pPr>
      <w:r w:rsidRPr="00A83CE0">
        <w:rPr>
          <w:b/>
          <w:color w:val="000000"/>
          <w:sz w:val="12"/>
          <w:szCs w:val="12"/>
        </w:rPr>
        <w:t>FRAIS</w:t>
      </w:r>
      <w:r w:rsidRPr="00A717C9">
        <w:rPr>
          <w:bCs/>
          <w:color w:val="000000"/>
          <w:sz w:val="12"/>
          <w:szCs w:val="12"/>
        </w:rPr>
        <w:t>.</w:t>
      </w:r>
      <w:r w:rsidRPr="00A83CE0">
        <w:rPr>
          <w:bCs/>
          <w:color w:val="000000"/>
          <w:sz w:val="12"/>
          <w:szCs w:val="12"/>
        </w:rPr>
        <w:t xml:space="preserve"> Le </w:t>
      </w:r>
      <w:r w:rsidR="003F3FC3">
        <w:rPr>
          <w:bCs/>
          <w:color w:val="000000"/>
          <w:sz w:val="12"/>
          <w:szCs w:val="12"/>
        </w:rPr>
        <w:t>Client</w:t>
      </w:r>
      <w:r w:rsidRPr="00A83CE0">
        <w:rPr>
          <w:bCs/>
          <w:color w:val="000000"/>
          <w:sz w:val="12"/>
          <w:szCs w:val="12"/>
        </w:rPr>
        <w:t xml:space="preserve"> est responsable de ce qui suit : a) tous les coûts associés au défaut du </w:t>
      </w:r>
      <w:r w:rsidR="003F3FC3">
        <w:rPr>
          <w:bCs/>
          <w:color w:val="000000"/>
          <w:sz w:val="12"/>
          <w:szCs w:val="12"/>
        </w:rPr>
        <w:t>Client</w:t>
      </w:r>
      <w:r w:rsidRPr="00A83CE0">
        <w:rPr>
          <w:bCs/>
          <w:color w:val="000000"/>
          <w:sz w:val="12"/>
          <w:szCs w:val="12"/>
        </w:rPr>
        <w:t xml:space="preserve"> de payer en temps opportun les </w:t>
      </w:r>
      <w:r w:rsidR="005F48DE">
        <w:rPr>
          <w:bCs/>
          <w:color w:val="000000"/>
          <w:sz w:val="12"/>
          <w:szCs w:val="12"/>
        </w:rPr>
        <w:t>P</w:t>
      </w:r>
      <w:r w:rsidRPr="00A83CE0">
        <w:rPr>
          <w:bCs/>
          <w:color w:val="000000"/>
          <w:sz w:val="12"/>
          <w:szCs w:val="12"/>
        </w:rPr>
        <w:t>roduits de bois d’</w:t>
      </w:r>
      <w:r w:rsidR="00ED3CAC" w:rsidRPr="00A83CE0">
        <w:rPr>
          <w:bCs/>
          <w:color w:val="000000"/>
          <w:sz w:val="12"/>
          <w:szCs w:val="12"/>
        </w:rPr>
        <w:t>œuvre</w:t>
      </w:r>
      <w:r w:rsidRPr="00A83CE0">
        <w:rPr>
          <w:bCs/>
          <w:color w:val="000000"/>
          <w:sz w:val="12"/>
          <w:szCs w:val="12"/>
        </w:rPr>
        <w:t xml:space="preserve">; b) tous les coûts et frais pour le compte du </w:t>
      </w:r>
      <w:r w:rsidR="003F3FC3">
        <w:rPr>
          <w:bCs/>
          <w:color w:val="000000"/>
          <w:sz w:val="12"/>
          <w:szCs w:val="12"/>
        </w:rPr>
        <w:t>Client</w:t>
      </w:r>
      <w:r w:rsidRPr="00A83CE0">
        <w:rPr>
          <w:bCs/>
          <w:color w:val="000000"/>
          <w:sz w:val="12"/>
          <w:szCs w:val="12"/>
        </w:rPr>
        <w:t xml:space="preserve"> en vertu de la </w:t>
      </w:r>
      <w:r w:rsidR="00442ADB">
        <w:rPr>
          <w:bCs/>
          <w:color w:val="000000"/>
          <w:sz w:val="12"/>
          <w:szCs w:val="12"/>
        </w:rPr>
        <w:t>clause</w:t>
      </w:r>
      <w:r w:rsidRPr="00A83CE0">
        <w:rPr>
          <w:bCs/>
          <w:color w:val="000000"/>
          <w:sz w:val="12"/>
          <w:szCs w:val="12"/>
        </w:rPr>
        <w:t xml:space="preserve"> </w:t>
      </w:r>
      <w:hyperlink w:anchor="_bookmark0" w:history="1">
        <w:r w:rsidRPr="00A83CE0">
          <w:rPr>
            <w:bCs/>
            <w:color w:val="000000"/>
            <w:sz w:val="12"/>
            <w:szCs w:val="12"/>
          </w:rPr>
          <w:t>6;</w:t>
        </w:r>
      </w:hyperlink>
      <w:r w:rsidRPr="00A83CE0">
        <w:rPr>
          <w:bCs/>
          <w:color w:val="000000"/>
          <w:sz w:val="12"/>
          <w:szCs w:val="12"/>
        </w:rPr>
        <w:t xml:space="preserve"> </w:t>
      </w:r>
      <w:r w:rsidR="004F2544">
        <w:rPr>
          <w:bCs/>
          <w:color w:val="000000"/>
          <w:sz w:val="12"/>
          <w:szCs w:val="12"/>
        </w:rPr>
        <w:t xml:space="preserve">c) </w:t>
      </w:r>
      <w:r w:rsidRPr="00A83CE0">
        <w:rPr>
          <w:bCs/>
          <w:color w:val="000000"/>
          <w:sz w:val="12"/>
          <w:szCs w:val="12"/>
        </w:rPr>
        <w:t>les frais de déchargement, y compris</w:t>
      </w:r>
      <w:r w:rsidR="00E90587">
        <w:rPr>
          <w:bCs/>
          <w:color w:val="000000"/>
          <w:sz w:val="12"/>
          <w:szCs w:val="12"/>
        </w:rPr>
        <w:t xml:space="preserve"> mais sans s’y limiter</w:t>
      </w:r>
      <w:r w:rsidRPr="00A83CE0">
        <w:rPr>
          <w:bCs/>
          <w:color w:val="000000"/>
          <w:sz w:val="12"/>
          <w:szCs w:val="12"/>
        </w:rPr>
        <w:t xml:space="preserve">, les frais de </w:t>
      </w:r>
      <w:r w:rsidRPr="006D32AC">
        <w:rPr>
          <w:bCs/>
          <w:color w:val="000000"/>
          <w:sz w:val="12"/>
          <w:szCs w:val="12"/>
        </w:rPr>
        <w:t>surestarie</w:t>
      </w:r>
      <w:r w:rsidR="0019542A" w:rsidRPr="006D32AC">
        <w:rPr>
          <w:bCs/>
          <w:color w:val="000000"/>
          <w:sz w:val="12"/>
          <w:szCs w:val="12"/>
        </w:rPr>
        <w:t>s</w:t>
      </w:r>
      <w:r w:rsidRPr="00A83CE0">
        <w:rPr>
          <w:bCs/>
          <w:color w:val="000000"/>
          <w:sz w:val="12"/>
          <w:szCs w:val="12"/>
        </w:rPr>
        <w:t xml:space="preserve"> pour tout délai d’attente </w:t>
      </w:r>
      <w:r w:rsidR="0019542A">
        <w:rPr>
          <w:bCs/>
          <w:color w:val="000000"/>
          <w:sz w:val="12"/>
          <w:szCs w:val="12"/>
        </w:rPr>
        <w:t>subi</w:t>
      </w:r>
      <w:r w:rsidRPr="00A83CE0">
        <w:rPr>
          <w:bCs/>
          <w:color w:val="000000"/>
          <w:sz w:val="12"/>
          <w:szCs w:val="12"/>
        </w:rPr>
        <w:t xml:space="preserve"> par un transporteur ou un navire, les frais d</w:t>
      </w:r>
      <w:r w:rsidR="005F026D">
        <w:rPr>
          <w:bCs/>
          <w:color w:val="000000"/>
          <w:sz w:val="12"/>
          <w:szCs w:val="12"/>
        </w:rPr>
        <w:t>e chalanda</w:t>
      </w:r>
      <w:r w:rsidRPr="00A83CE0">
        <w:rPr>
          <w:bCs/>
          <w:color w:val="000000"/>
          <w:sz w:val="12"/>
          <w:szCs w:val="12"/>
        </w:rPr>
        <w:t>ge et de qua</w:t>
      </w:r>
      <w:r w:rsidR="001F6E56">
        <w:rPr>
          <w:bCs/>
          <w:color w:val="000000"/>
          <w:sz w:val="12"/>
          <w:szCs w:val="12"/>
        </w:rPr>
        <w:t>yage</w:t>
      </w:r>
      <w:r w:rsidRPr="00A83CE0">
        <w:rPr>
          <w:bCs/>
          <w:color w:val="000000"/>
          <w:sz w:val="12"/>
          <w:szCs w:val="12"/>
        </w:rPr>
        <w:t xml:space="preserve">, les frais d’entreposage ou les autres frais </w:t>
      </w:r>
      <w:r w:rsidR="00F92C9C">
        <w:rPr>
          <w:bCs/>
          <w:color w:val="000000"/>
          <w:sz w:val="12"/>
          <w:szCs w:val="12"/>
        </w:rPr>
        <w:t xml:space="preserve">et coûts </w:t>
      </w:r>
      <w:r w:rsidRPr="00A83CE0">
        <w:rPr>
          <w:bCs/>
          <w:color w:val="000000"/>
          <w:sz w:val="12"/>
          <w:szCs w:val="12"/>
        </w:rPr>
        <w:t xml:space="preserve">semblables associés au défaut du </w:t>
      </w:r>
      <w:r w:rsidR="003F3FC3">
        <w:rPr>
          <w:bCs/>
          <w:color w:val="000000"/>
          <w:sz w:val="12"/>
          <w:szCs w:val="12"/>
        </w:rPr>
        <w:t>Client</w:t>
      </w:r>
      <w:r w:rsidRPr="00A83CE0">
        <w:rPr>
          <w:bCs/>
          <w:color w:val="000000"/>
          <w:sz w:val="12"/>
          <w:szCs w:val="12"/>
        </w:rPr>
        <w:t xml:space="preserve"> de décharger les </w:t>
      </w:r>
      <w:r w:rsidR="0079793D">
        <w:rPr>
          <w:bCs/>
          <w:color w:val="000000"/>
          <w:sz w:val="12"/>
          <w:szCs w:val="12"/>
        </w:rPr>
        <w:t xml:space="preserve">Produits de bois d’œuvre </w:t>
      </w:r>
      <w:r w:rsidRPr="00A83CE0">
        <w:rPr>
          <w:bCs/>
          <w:color w:val="000000"/>
          <w:sz w:val="12"/>
          <w:szCs w:val="12"/>
        </w:rPr>
        <w:t xml:space="preserve">à l’adresse </w:t>
      </w:r>
      <w:r w:rsidR="00881E64">
        <w:rPr>
          <w:bCs/>
          <w:color w:val="000000"/>
          <w:sz w:val="12"/>
          <w:szCs w:val="12"/>
        </w:rPr>
        <w:t>de</w:t>
      </w:r>
      <w:r w:rsidR="00271DA0">
        <w:rPr>
          <w:bCs/>
          <w:color w:val="000000"/>
          <w:sz w:val="12"/>
          <w:szCs w:val="12"/>
        </w:rPr>
        <w:t xml:space="preserve"> </w:t>
      </w:r>
      <w:r w:rsidR="00881E64">
        <w:rPr>
          <w:bCs/>
          <w:color w:val="000000"/>
          <w:sz w:val="12"/>
          <w:szCs w:val="12"/>
        </w:rPr>
        <w:t>livrais</w:t>
      </w:r>
      <w:r w:rsidRPr="00F92C9C">
        <w:rPr>
          <w:bCs/>
          <w:color w:val="000000"/>
          <w:sz w:val="12"/>
          <w:szCs w:val="12"/>
        </w:rPr>
        <w:t>on</w:t>
      </w:r>
      <w:r w:rsidR="0056666A">
        <w:rPr>
          <w:bCs/>
          <w:color w:val="000000"/>
          <w:sz w:val="12"/>
          <w:szCs w:val="12"/>
        </w:rPr>
        <w:t xml:space="preserve"> </w:t>
      </w:r>
      <w:r w:rsidRPr="00A83CE0">
        <w:rPr>
          <w:bCs/>
          <w:color w:val="000000"/>
          <w:sz w:val="12"/>
          <w:szCs w:val="12"/>
        </w:rPr>
        <w:t xml:space="preserve">du </w:t>
      </w:r>
      <w:r w:rsidR="0079793D">
        <w:rPr>
          <w:bCs/>
          <w:color w:val="000000"/>
          <w:sz w:val="12"/>
          <w:szCs w:val="12"/>
        </w:rPr>
        <w:t xml:space="preserve">Contrat de vente </w:t>
      </w:r>
      <w:r w:rsidRPr="00A83CE0">
        <w:rPr>
          <w:bCs/>
          <w:color w:val="000000"/>
          <w:sz w:val="12"/>
          <w:szCs w:val="12"/>
        </w:rPr>
        <w:t>pour les livraisons en Amérique du Nord (la « </w:t>
      </w:r>
      <w:r w:rsidR="0079793D">
        <w:rPr>
          <w:b/>
          <w:color w:val="000000"/>
          <w:sz w:val="12"/>
          <w:szCs w:val="12"/>
        </w:rPr>
        <w:t xml:space="preserve">Destination finale </w:t>
      </w:r>
      <w:r w:rsidRPr="00A83CE0">
        <w:rPr>
          <w:bCs/>
          <w:color w:val="000000"/>
          <w:sz w:val="12"/>
          <w:szCs w:val="12"/>
        </w:rPr>
        <w:t xml:space="preserve">»), ou </w:t>
      </w:r>
      <w:r w:rsidR="0039296A">
        <w:rPr>
          <w:bCs/>
          <w:color w:val="000000"/>
          <w:sz w:val="12"/>
          <w:szCs w:val="12"/>
        </w:rPr>
        <w:t>au</w:t>
      </w:r>
      <w:r w:rsidRPr="00A83CE0">
        <w:rPr>
          <w:bCs/>
          <w:color w:val="000000"/>
          <w:sz w:val="12"/>
          <w:szCs w:val="12"/>
        </w:rPr>
        <w:t xml:space="preserve"> port à la « destination » dans les contrats de vente </w:t>
      </w:r>
      <w:r w:rsidR="0039296A">
        <w:rPr>
          <w:bCs/>
          <w:color w:val="000000"/>
          <w:sz w:val="12"/>
          <w:szCs w:val="12"/>
        </w:rPr>
        <w:t>pour les</w:t>
      </w:r>
      <w:r w:rsidRPr="00A83CE0">
        <w:rPr>
          <w:bCs/>
          <w:color w:val="000000"/>
          <w:sz w:val="12"/>
          <w:szCs w:val="12"/>
        </w:rPr>
        <w:t xml:space="preserve"> exportation</w:t>
      </w:r>
      <w:r w:rsidR="0039296A">
        <w:rPr>
          <w:bCs/>
          <w:color w:val="000000"/>
          <w:sz w:val="12"/>
          <w:szCs w:val="12"/>
        </w:rPr>
        <w:t>s</w:t>
      </w:r>
      <w:r w:rsidRPr="00A83CE0">
        <w:rPr>
          <w:bCs/>
          <w:color w:val="000000"/>
          <w:sz w:val="12"/>
          <w:szCs w:val="12"/>
        </w:rPr>
        <w:t xml:space="preserve"> </w:t>
      </w:r>
      <w:r w:rsidR="007B3637">
        <w:rPr>
          <w:bCs/>
          <w:color w:val="000000"/>
          <w:sz w:val="12"/>
          <w:szCs w:val="12"/>
        </w:rPr>
        <w:t>à l’extérieur de l’</w:t>
      </w:r>
      <w:r w:rsidRPr="00A83CE0">
        <w:rPr>
          <w:bCs/>
          <w:color w:val="000000"/>
          <w:sz w:val="12"/>
          <w:szCs w:val="12"/>
        </w:rPr>
        <w:t>Amérique du Nord (le « </w:t>
      </w:r>
      <w:r w:rsidR="0079793D">
        <w:rPr>
          <w:b/>
          <w:color w:val="000000"/>
          <w:sz w:val="12"/>
          <w:szCs w:val="12"/>
        </w:rPr>
        <w:t xml:space="preserve">Port de destination </w:t>
      </w:r>
      <w:r w:rsidRPr="00A83CE0">
        <w:rPr>
          <w:bCs/>
          <w:color w:val="000000"/>
          <w:sz w:val="12"/>
          <w:szCs w:val="12"/>
        </w:rPr>
        <w:t>»)</w:t>
      </w:r>
      <w:r w:rsidR="00997AB5">
        <w:rPr>
          <w:bCs/>
          <w:color w:val="000000"/>
          <w:sz w:val="12"/>
          <w:szCs w:val="12"/>
        </w:rPr>
        <w:t>,</w:t>
      </w:r>
      <w:r w:rsidRPr="00A83CE0">
        <w:rPr>
          <w:bCs/>
          <w:color w:val="000000"/>
          <w:sz w:val="12"/>
          <w:szCs w:val="12"/>
        </w:rPr>
        <w:t xml:space="preserve"> et d) pour les </w:t>
      </w:r>
      <w:r w:rsidR="0079793D">
        <w:rPr>
          <w:bCs/>
          <w:color w:val="000000"/>
          <w:sz w:val="12"/>
          <w:szCs w:val="12"/>
        </w:rPr>
        <w:t xml:space="preserve">Produits de bois d’œuvre </w:t>
      </w:r>
      <w:r w:rsidRPr="00A83CE0">
        <w:rPr>
          <w:bCs/>
          <w:color w:val="000000"/>
          <w:sz w:val="12"/>
          <w:szCs w:val="12"/>
        </w:rPr>
        <w:t xml:space="preserve">devant être exportés vers des pays autres que les États-Unis ou le Canada, toutes les exigences en matière de dédouanement et autres exigences et </w:t>
      </w:r>
      <w:r w:rsidR="005F23D0">
        <w:rPr>
          <w:bCs/>
          <w:color w:val="000000"/>
          <w:sz w:val="12"/>
          <w:szCs w:val="12"/>
        </w:rPr>
        <w:t xml:space="preserve">les </w:t>
      </w:r>
      <w:r w:rsidR="003F3FC3">
        <w:rPr>
          <w:bCs/>
          <w:color w:val="000000"/>
          <w:sz w:val="12"/>
          <w:szCs w:val="12"/>
        </w:rPr>
        <w:t>Taxes</w:t>
      </w:r>
      <w:r w:rsidRPr="00A83CE0">
        <w:rPr>
          <w:bCs/>
          <w:color w:val="000000"/>
          <w:sz w:val="12"/>
          <w:szCs w:val="12"/>
        </w:rPr>
        <w:t xml:space="preserve"> payables pour que les </w:t>
      </w:r>
      <w:r w:rsidR="0079793D">
        <w:rPr>
          <w:bCs/>
          <w:color w:val="000000"/>
          <w:sz w:val="12"/>
          <w:szCs w:val="12"/>
        </w:rPr>
        <w:t xml:space="preserve">Produits de bois d’œuvre </w:t>
      </w:r>
      <w:r w:rsidRPr="00A83CE0">
        <w:rPr>
          <w:bCs/>
          <w:color w:val="000000"/>
          <w:sz w:val="12"/>
          <w:szCs w:val="12"/>
        </w:rPr>
        <w:t xml:space="preserve">soient importés dans le pays où se trouve la </w:t>
      </w:r>
      <w:r w:rsidR="00F90535">
        <w:rPr>
          <w:bCs/>
          <w:color w:val="000000"/>
          <w:sz w:val="12"/>
          <w:szCs w:val="12"/>
        </w:rPr>
        <w:t>D</w:t>
      </w:r>
      <w:r w:rsidRPr="00A83CE0">
        <w:rPr>
          <w:bCs/>
          <w:color w:val="000000"/>
          <w:sz w:val="12"/>
          <w:szCs w:val="12"/>
        </w:rPr>
        <w:t xml:space="preserve">estination finale. Le </w:t>
      </w:r>
      <w:r w:rsidR="003F3FC3">
        <w:rPr>
          <w:bCs/>
          <w:color w:val="000000"/>
          <w:sz w:val="12"/>
          <w:szCs w:val="12"/>
        </w:rPr>
        <w:t>Client</w:t>
      </w:r>
      <w:r w:rsidRPr="00A83CE0">
        <w:rPr>
          <w:bCs/>
          <w:color w:val="000000"/>
          <w:sz w:val="12"/>
          <w:szCs w:val="12"/>
        </w:rPr>
        <w:t xml:space="preserve"> </w:t>
      </w:r>
      <w:r w:rsidR="00396EF4">
        <w:rPr>
          <w:bCs/>
          <w:color w:val="000000"/>
          <w:sz w:val="12"/>
          <w:szCs w:val="12"/>
        </w:rPr>
        <w:t xml:space="preserve">tient </w:t>
      </w:r>
      <w:r w:rsidRPr="00A83CE0">
        <w:rPr>
          <w:bCs/>
          <w:color w:val="000000"/>
          <w:sz w:val="12"/>
          <w:szCs w:val="12"/>
        </w:rPr>
        <w:t xml:space="preserve">Interfor </w:t>
      </w:r>
      <w:r w:rsidR="0051296A">
        <w:rPr>
          <w:bCs/>
          <w:color w:val="000000"/>
          <w:sz w:val="12"/>
          <w:szCs w:val="12"/>
        </w:rPr>
        <w:t xml:space="preserve">indemne et à couvert et la défend à l’égard </w:t>
      </w:r>
      <w:r w:rsidRPr="00A83CE0">
        <w:rPr>
          <w:bCs/>
          <w:color w:val="000000"/>
          <w:sz w:val="12"/>
          <w:szCs w:val="12"/>
        </w:rPr>
        <w:t xml:space="preserve">des coûts et dépenses qui relèvent de la responsabilité du </w:t>
      </w:r>
      <w:r w:rsidR="003F3FC3">
        <w:rPr>
          <w:bCs/>
          <w:color w:val="000000"/>
          <w:sz w:val="12"/>
          <w:szCs w:val="12"/>
        </w:rPr>
        <w:t>Client</w:t>
      </w:r>
      <w:r w:rsidRPr="00A83CE0">
        <w:rPr>
          <w:bCs/>
          <w:color w:val="000000"/>
          <w:sz w:val="12"/>
          <w:szCs w:val="12"/>
        </w:rPr>
        <w:t xml:space="preserve"> aux </w:t>
      </w:r>
      <w:r w:rsidRPr="00A83CE0">
        <w:rPr>
          <w:bCs/>
          <w:color w:val="000000"/>
          <w:sz w:val="12"/>
          <w:szCs w:val="12"/>
        </w:rPr>
        <w:t xml:space="preserve">termes de la présente </w:t>
      </w:r>
      <w:r w:rsidR="0051296A">
        <w:rPr>
          <w:bCs/>
          <w:color w:val="000000"/>
          <w:sz w:val="12"/>
          <w:szCs w:val="12"/>
        </w:rPr>
        <w:t>clause</w:t>
      </w:r>
      <w:r w:rsidRPr="00A83CE0">
        <w:rPr>
          <w:bCs/>
          <w:color w:val="000000"/>
          <w:sz w:val="12"/>
          <w:szCs w:val="12"/>
        </w:rPr>
        <w:t>.</w:t>
      </w:r>
    </w:p>
    <w:p w14:paraId="595BB817" w14:textId="11AE8F4C" w:rsidR="005A01A8" w:rsidRPr="00A83CE0" w:rsidRDefault="005A01A8" w:rsidP="00A83CE0">
      <w:pPr>
        <w:pStyle w:val="ListParagraph"/>
        <w:numPr>
          <w:ilvl w:val="0"/>
          <w:numId w:val="2"/>
        </w:numPr>
        <w:tabs>
          <w:tab w:val="left" w:pos="651"/>
          <w:tab w:val="left" w:pos="652"/>
        </w:tabs>
        <w:spacing w:after="120"/>
        <w:ind w:left="113"/>
        <w:rPr>
          <w:bCs/>
          <w:color w:val="000000"/>
          <w:sz w:val="12"/>
          <w:szCs w:val="12"/>
        </w:rPr>
      </w:pPr>
      <w:r w:rsidRPr="00A83CE0">
        <w:rPr>
          <w:b/>
          <w:color w:val="000000"/>
          <w:sz w:val="12"/>
          <w:szCs w:val="12"/>
        </w:rPr>
        <w:t>TITRE ET RISQUE.</w:t>
      </w:r>
      <w:r w:rsidRPr="00A83CE0">
        <w:rPr>
          <w:bCs/>
          <w:color w:val="000000"/>
          <w:sz w:val="12"/>
          <w:szCs w:val="12"/>
        </w:rPr>
        <w:t xml:space="preserve"> Le titre de propriété et le risque de perte des </w:t>
      </w:r>
      <w:r w:rsidR="0079793D">
        <w:rPr>
          <w:bCs/>
          <w:color w:val="000000"/>
          <w:sz w:val="12"/>
          <w:szCs w:val="12"/>
        </w:rPr>
        <w:t xml:space="preserve">Produits de bois d’œuvre </w:t>
      </w:r>
      <w:r w:rsidRPr="00A83CE0">
        <w:rPr>
          <w:bCs/>
          <w:color w:val="000000"/>
          <w:sz w:val="12"/>
          <w:szCs w:val="12"/>
        </w:rPr>
        <w:t xml:space="preserve">sont transférés d’Interfor au </w:t>
      </w:r>
      <w:r w:rsidR="003F3FC3">
        <w:rPr>
          <w:bCs/>
          <w:color w:val="000000"/>
          <w:sz w:val="12"/>
          <w:szCs w:val="12"/>
        </w:rPr>
        <w:t>Client</w:t>
      </w:r>
      <w:r w:rsidRPr="00A83CE0">
        <w:rPr>
          <w:bCs/>
          <w:color w:val="000000"/>
          <w:sz w:val="12"/>
          <w:szCs w:val="12"/>
        </w:rPr>
        <w:t xml:space="preserve"> </w:t>
      </w:r>
      <w:r w:rsidR="007040E5">
        <w:rPr>
          <w:bCs/>
          <w:color w:val="000000"/>
          <w:sz w:val="12"/>
          <w:szCs w:val="12"/>
        </w:rPr>
        <w:t>de façon concomitante</w:t>
      </w:r>
      <w:r w:rsidRPr="00A83CE0">
        <w:rPr>
          <w:bCs/>
          <w:color w:val="000000"/>
          <w:sz w:val="12"/>
          <w:szCs w:val="12"/>
        </w:rPr>
        <w:t xml:space="preserve">, au moment et à l’endroit indiqués à la </w:t>
      </w:r>
      <w:r w:rsidR="00741A7D">
        <w:rPr>
          <w:bCs/>
          <w:color w:val="000000"/>
          <w:sz w:val="12"/>
          <w:szCs w:val="12"/>
        </w:rPr>
        <w:t>clause</w:t>
      </w:r>
      <w:r w:rsidRPr="00A83CE0">
        <w:rPr>
          <w:bCs/>
          <w:color w:val="000000"/>
          <w:sz w:val="12"/>
          <w:szCs w:val="12"/>
        </w:rPr>
        <w:t xml:space="preserve"> </w:t>
      </w:r>
      <w:hyperlink w:anchor="_bookmark0" w:history="1">
        <w:r w:rsidRPr="00A83CE0">
          <w:rPr>
            <w:bCs/>
            <w:color w:val="000000"/>
            <w:sz w:val="12"/>
            <w:szCs w:val="12"/>
          </w:rPr>
          <w:t>6.</w:t>
        </w:r>
      </w:hyperlink>
      <w:r w:rsidRPr="00A83CE0">
        <w:rPr>
          <w:bCs/>
          <w:color w:val="000000"/>
          <w:sz w:val="12"/>
          <w:szCs w:val="12"/>
        </w:rPr>
        <w:t xml:space="preserve"> Indépendamment du moment ou d</w:t>
      </w:r>
      <w:r w:rsidR="00F1492F">
        <w:rPr>
          <w:bCs/>
          <w:color w:val="000000"/>
          <w:sz w:val="12"/>
          <w:szCs w:val="12"/>
        </w:rPr>
        <w:t>e l’endroit</w:t>
      </w:r>
      <w:r w:rsidRPr="00A83CE0">
        <w:rPr>
          <w:bCs/>
          <w:color w:val="000000"/>
          <w:sz w:val="12"/>
          <w:szCs w:val="12"/>
        </w:rPr>
        <w:t xml:space="preserve"> de ce transfert, Interfor conserve une </w:t>
      </w:r>
      <w:r w:rsidRPr="006D32AC">
        <w:rPr>
          <w:bCs/>
          <w:color w:val="000000"/>
          <w:sz w:val="12"/>
          <w:szCs w:val="12"/>
        </w:rPr>
        <w:t>sûreté</w:t>
      </w:r>
      <w:r w:rsidRPr="00A83CE0">
        <w:rPr>
          <w:bCs/>
          <w:color w:val="000000"/>
          <w:sz w:val="12"/>
          <w:szCs w:val="12"/>
        </w:rPr>
        <w:t xml:space="preserve"> sur les </w:t>
      </w:r>
      <w:r w:rsidR="0079793D">
        <w:rPr>
          <w:bCs/>
          <w:color w:val="000000"/>
          <w:sz w:val="12"/>
          <w:szCs w:val="12"/>
        </w:rPr>
        <w:t xml:space="preserve">Produits de bois d’œuvre </w:t>
      </w:r>
      <w:r w:rsidRPr="00A83CE0">
        <w:rPr>
          <w:bCs/>
          <w:color w:val="000000"/>
          <w:sz w:val="12"/>
          <w:szCs w:val="12"/>
        </w:rPr>
        <w:t xml:space="preserve">jusqu’à </w:t>
      </w:r>
      <w:r w:rsidR="00130D8C">
        <w:rPr>
          <w:bCs/>
          <w:color w:val="000000"/>
          <w:sz w:val="12"/>
          <w:szCs w:val="12"/>
        </w:rPr>
        <w:t xml:space="preserve">la réception du </w:t>
      </w:r>
      <w:r w:rsidRPr="00A83CE0">
        <w:rPr>
          <w:bCs/>
          <w:color w:val="000000"/>
          <w:sz w:val="12"/>
          <w:szCs w:val="12"/>
        </w:rPr>
        <w:t xml:space="preserve">paiement intégral du </w:t>
      </w:r>
      <w:r w:rsidR="003F3FC3">
        <w:rPr>
          <w:bCs/>
          <w:color w:val="000000"/>
          <w:sz w:val="12"/>
          <w:szCs w:val="12"/>
        </w:rPr>
        <w:t>Prix</w:t>
      </w:r>
      <w:r w:rsidRPr="00A83CE0">
        <w:rPr>
          <w:bCs/>
          <w:color w:val="000000"/>
          <w:sz w:val="12"/>
          <w:szCs w:val="12"/>
        </w:rPr>
        <w:t xml:space="preserve"> </w:t>
      </w:r>
      <w:r w:rsidR="00AB2366">
        <w:rPr>
          <w:bCs/>
          <w:color w:val="000000"/>
          <w:sz w:val="12"/>
          <w:szCs w:val="12"/>
        </w:rPr>
        <w:t>pour ceux-ci</w:t>
      </w:r>
      <w:r w:rsidRPr="00A83CE0">
        <w:rPr>
          <w:bCs/>
          <w:color w:val="000000"/>
          <w:sz w:val="12"/>
          <w:szCs w:val="12"/>
        </w:rPr>
        <w:t xml:space="preserve">. Il incombe au </w:t>
      </w:r>
      <w:r w:rsidR="003F3FC3">
        <w:rPr>
          <w:bCs/>
          <w:color w:val="000000"/>
          <w:sz w:val="12"/>
          <w:szCs w:val="12"/>
        </w:rPr>
        <w:t>Client</w:t>
      </w:r>
      <w:r w:rsidRPr="00A83CE0">
        <w:rPr>
          <w:bCs/>
          <w:color w:val="000000"/>
          <w:sz w:val="12"/>
          <w:szCs w:val="12"/>
        </w:rPr>
        <w:t xml:space="preserve"> et au transporteur de veiller à ce que chaque chargement de </w:t>
      </w:r>
      <w:r w:rsidR="0079793D">
        <w:rPr>
          <w:bCs/>
          <w:color w:val="000000"/>
          <w:sz w:val="12"/>
          <w:szCs w:val="12"/>
        </w:rPr>
        <w:t xml:space="preserve">Produits de bois d’œuvre </w:t>
      </w:r>
      <w:r w:rsidRPr="00A83CE0">
        <w:rPr>
          <w:bCs/>
          <w:color w:val="000000"/>
          <w:sz w:val="12"/>
          <w:szCs w:val="12"/>
        </w:rPr>
        <w:t xml:space="preserve">soit dûment garanti avant que le transporteur ne quitte </w:t>
      </w:r>
      <w:r w:rsidR="00E73013">
        <w:rPr>
          <w:bCs/>
          <w:color w:val="000000"/>
          <w:sz w:val="12"/>
          <w:szCs w:val="12"/>
        </w:rPr>
        <w:t>le point</w:t>
      </w:r>
      <w:r w:rsidRPr="00A83CE0">
        <w:rPr>
          <w:bCs/>
          <w:color w:val="000000"/>
          <w:sz w:val="12"/>
          <w:szCs w:val="12"/>
        </w:rPr>
        <w:t xml:space="preserve"> d’origine, quelles que soient les modalités de l’expédition et </w:t>
      </w:r>
      <w:r w:rsidR="00BB2BDC">
        <w:rPr>
          <w:bCs/>
          <w:color w:val="000000"/>
          <w:sz w:val="12"/>
          <w:szCs w:val="12"/>
        </w:rPr>
        <w:t>indépendamment du fait qu’</w:t>
      </w:r>
      <w:r w:rsidRPr="00A83CE0">
        <w:rPr>
          <w:bCs/>
          <w:color w:val="000000"/>
          <w:sz w:val="12"/>
          <w:szCs w:val="12"/>
        </w:rPr>
        <w:t>Interfor p</w:t>
      </w:r>
      <w:r w:rsidR="00BB2BDC">
        <w:rPr>
          <w:bCs/>
          <w:color w:val="000000"/>
          <w:sz w:val="12"/>
          <w:szCs w:val="12"/>
        </w:rPr>
        <w:t>uisse</w:t>
      </w:r>
      <w:r w:rsidRPr="00A83CE0">
        <w:rPr>
          <w:bCs/>
          <w:color w:val="000000"/>
          <w:sz w:val="12"/>
          <w:szCs w:val="12"/>
        </w:rPr>
        <w:t xml:space="preserve"> charger les </w:t>
      </w:r>
      <w:r w:rsidR="0079793D">
        <w:rPr>
          <w:bCs/>
          <w:color w:val="000000"/>
          <w:sz w:val="12"/>
          <w:szCs w:val="12"/>
        </w:rPr>
        <w:t xml:space="preserve">Produits de bois d’œuvre </w:t>
      </w:r>
      <w:r w:rsidRPr="00A83CE0">
        <w:rPr>
          <w:bCs/>
          <w:color w:val="000000"/>
          <w:sz w:val="12"/>
          <w:szCs w:val="12"/>
        </w:rPr>
        <w:t xml:space="preserve">sur le camion, le wagon de chemin de fer ou le navire du transporteur. Interfor se réserve le droit de refuser de charger des </w:t>
      </w:r>
      <w:r w:rsidR="0079793D">
        <w:rPr>
          <w:bCs/>
          <w:color w:val="000000"/>
          <w:sz w:val="12"/>
          <w:szCs w:val="12"/>
        </w:rPr>
        <w:t xml:space="preserve">Produits de bois d’œuvre </w:t>
      </w:r>
      <w:r w:rsidRPr="00A83CE0">
        <w:rPr>
          <w:bCs/>
          <w:color w:val="000000"/>
          <w:sz w:val="12"/>
          <w:szCs w:val="12"/>
        </w:rPr>
        <w:t>sur un camion, un wagon de chemin de fer ou un navire dangereux</w:t>
      </w:r>
      <w:r w:rsidR="00A71C38">
        <w:rPr>
          <w:bCs/>
          <w:color w:val="000000"/>
          <w:sz w:val="12"/>
          <w:szCs w:val="12"/>
        </w:rPr>
        <w:t xml:space="preserve"> ou peu s</w:t>
      </w:r>
      <w:r w:rsidR="00C1684D">
        <w:rPr>
          <w:bCs/>
          <w:color w:val="000000"/>
          <w:sz w:val="12"/>
          <w:szCs w:val="12"/>
        </w:rPr>
        <w:t>û</w:t>
      </w:r>
      <w:r w:rsidR="00A71C38">
        <w:rPr>
          <w:bCs/>
          <w:color w:val="000000"/>
          <w:sz w:val="12"/>
          <w:szCs w:val="12"/>
        </w:rPr>
        <w:t>r</w:t>
      </w:r>
      <w:r w:rsidRPr="00A83CE0">
        <w:rPr>
          <w:bCs/>
          <w:color w:val="000000"/>
          <w:sz w:val="12"/>
          <w:szCs w:val="12"/>
        </w:rPr>
        <w:t xml:space="preserve">. Le </w:t>
      </w:r>
      <w:r w:rsidR="003F3FC3">
        <w:rPr>
          <w:bCs/>
          <w:color w:val="000000"/>
          <w:sz w:val="12"/>
          <w:szCs w:val="12"/>
        </w:rPr>
        <w:t>Client</w:t>
      </w:r>
      <w:r w:rsidRPr="00A83CE0">
        <w:rPr>
          <w:bCs/>
          <w:color w:val="000000"/>
          <w:sz w:val="12"/>
          <w:szCs w:val="12"/>
        </w:rPr>
        <w:t xml:space="preserve"> est responsable du déchargement des </w:t>
      </w:r>
      <w:r w:rsidR="0079793D">
        <w:rPr>
          <w:bCs/>
          <w:color w:val="000000"/>
          <w:sz w:val="12"/>
          <w:szCs w:val="12"/>
        </w:rPr>
        <w:t xml:space="preserve">Produits de bois d’œuvre </w:t>
      </w:r>
      <w:r w:rsidRPr="00A83CE0">
        <w:rPr>
          <w:bCs/>
          <w:color w:val="000000"/>
          <w:sz w:val="12"/>
          <w:szCs w:val="12"/>
        </w:rPr>
        <w:t xml:space="preserve">à la </w:t>
      </w:r>
      <w:r w:rsidR="0079793D">
        <w:rPr>
          <w:bCs/>
          <w:color w:val="000000"/>
          <w:sz w:val="12"/>
          <w:szCs w:val="12"/>
        </w:rPr>
        <w:t xml:space="preserve">Destination finale </w:t>
      </w:r>
      <w:r w:rsidRPr="00A83CE0">
        <w:rPr>
          <w:bCs/>
          <w:color w:val="000000"/>
          <w:sz w:val="12"/>
          <w:szCs w:val="12"/>
        </w:rPr>
        <w:t xml:space="preserve">ou au </w:t>
      </w:r>
      <w:r w:rsidR="00E83033">
        <w:rPr>
          <w:bCs/>
          <w:color w:val="000000"/>
          <w:sz w:val="12"/>
          <w:szCs w:val="12"/>
        </w:rPr>
        <w:t>Port de Destination</w:t>
      </w:r>
      <w:r w:rsidRPr="00A83CE0">
        <w:rPr>
          <w:bCs/>
          <w:color w:val="000000"/>
          <w:sz w:val="12"/>
          <w:szCs w:val="12"/>
        </w:rPr>
        <w:t>.</w:t>
      </w:r>
    </w:p>
    <w:p w14:paraId="52EC007D" w14:textId="49E25DD9" w:rsidR="005A01A8" w:rsidRPr="00A83CE0" w:rsidRDefault="005A01A8" w:rsidP="00A83CE0">
      <w:pPr>
        <w:pStyle w:val="ListParagraph"/>
        <w:numPr>
          <w:ilvl w:val="0"/>
          <w:numId w:val="2"/>
        </w:numPr>
        <w:tabs>
          <w:tab w:val="left" w:pos="652"/>
        </w:tabs>
        <w:spacing w:after="120"/>
        <w:ind w:right="143"/>
        <w:rPr>
          <w:sz w:val="12"/>
          <w:szCs w:val="12"/>
        </w:rPr>
      </w:pPr>
      <w:r w:rsidRPr="00A83CE0">
        <w:rPr>
          <w:b/>
          <w:color w:val="000000"/>
          <w:sz w:val="12"/>
          <w:szCs w:val="12"/>
        </w:rPr>
        <w:t>LIVRAISON ET TRANSPORT</w:t>
      </w:r>
      <w:r w:rsidRPr="00A83CE0">
        <w:rPr>
          <w:color w:val="000000"/>
          <w:sz w:val="12"/>
          <w:szCs w:val="12"/>
        </w:rPr>
        <w:t>. D’après les « </w:t>
      </w:r>
      <w:r w:rsidR="001668C3">
        <w:rPr>
          <w:color w:val="000000"/>
          <w:sz w:val="12"/>
          <w:szCs w:val="12"/>
        </w:rPr>
        <w:t>modalité</w:t>
      </w:r>
      <w:r w:rsidRPr="00A83CE0">
        <w:rPr>
          <w:color w:val="000000"/>
          <w:sz w:val="12"/>
          <w:szCs w:val="12"/>
        </w:rPr>
        <w:t>s d’expédition » ou la « base d</w:t>
      </w:r>
      <w:r w:rsidR="00D44E0A">
        <w:rPr>
          <w:color w:val="000000"/>
          <w:sz w:val="12"/>
          <w:szCs w:val="12"/>
        </w:rPr>
        <w:t>e</w:t>
      </w:r>
      <w:r w:rsidRPr="00A83CE0">
        <w:rPr>
          <w:color w:val="000000"/>
          <w:sz w:val="12"/>
          <w:szCs w:val="12"/>
        </w:rPr>
        <w:t xml:space="preserve"> </w:t>
      </w:r>
      <w:r w:rsidR="003F3FC3">
        <w:rPr>
          <w:color w:val="000000"/>
          <w:sz w:val="12"/>
          <w:szCs w:val="12"/>
        </w:rPr>
        <w:t>Prix</w:t>
      </w:r>
      <w:r w:rsidRPr="00A83CE0">
        <w:rPr>
          <w:color w:val="000000"/>
          <w:sz w:val="12"/>
          <w:szCs w:val="12"/>
        </w:rPr>
        <w:t xml:space="preserve"> » dans le </w:t>
      </w:r>
      <w:r w:rsidR="00DC357C">
        <w:rPr>
          <w:color w:val="000000"/>
          <w:sz w:val="12"/>
          <w:szCs w:val="12"/>
        </w:rPr>
        <w:t>C</w:t>
      </w:r>
      <w:r w:rsidRPr="00A83CE0">
        <w:rPr>
          <w:color w:val="000000"/>
          <w:sz w:val="12"/>
          <w:szCs w:val="12"/>
        </w:rPr>
        <w:t xml:space="preserve">ontrat de vente, les </w:t>
      </w:r>
      <w:r w:rsidR="001668C3">
        <w:rPr>
          <w:color w:val="000000"/>
          <w:sz w:val="12"/>
          <w:szCs w:val="12"/>
        </w:rPr>
        <w:t xml:space="preserve">modalités et </w:t>
      </w:r>
      <w:r w:rsidRPr="00A83CE0">
        <w:rPr>
          <w:color w:val="000000"/>
          <w:sz w:val="12"/>
          <w:szCs w:val="12"/>
        </w:rPr>
        <w:t>conditions suivantes s’applique</w:t>
      </w:r>
      <w:r w:rsidR="00C1684D">
        <w:rPr>
          <w:color w:val="000000"/>
          <w:sz w:val="12"/>
          <w:szCs w:val="12"/>
        </w:rPr>
        <w:t>nt</w:t>
      </w:r>
      <w:r w:rsidRPr="00A83CE0">
        <w:rPr>
          <w:color w:val="000000"/>
          <w:sz w:val="12"/>
          <w:szCs w:val="12"/>
        </w:rPr>
        <w:t xml:space="preserve"> à la </w:t>
      </w:r>
      <w:r w:rsidR="00292D2B">
        <w:rPr>
          <w:color w:val="000000"/>
          <w:sz w:val="12"/>
          <w:szCs w:val="12"/>
        </w:rPr>
        <w:t>Convention</w:t>
      </w:r>
      <w:r w:rsidRPr="00A83CE0">
        <w:rPr>
          <w:color w:val="000000"/>
          <w:sz w:val="12"/>
          <w:szCs w:val="12"/>
        </w:rPr>
        <w:t xml:space="preserve"> (et, en cas de conflit entre Incoterms® 2020 et les </w:t>
      </w:r>
      <w:r w:rsidR="001668C3">
        <w:rPr>
          <w:color w:val="000000"/>
          <w:sz w:val="12"/>
          <w:szCs w:val="12"/>
        </w:rPr>
        <w:t>modalité</w:t>
      </w:r>
      <w:r w:rsidRPr="00A83CE0">
        <w:rPr>
          <w:color w:val="000000"/>
          <w:sz w:val="12"/>
          <w:szCs w:val="12"/>
        </w:rPr>
        <w:t xml:space="preserve">s décrites ci-après, les </w:t>
      </w:r>
      <w:r w:rsidR="001668C3">
        <w:rPr>
          <w:color w:val="000000"/>
          <w:sz w:val="12"/>
          <w:szCs w:val="12"/>
        </w:rPr>
        <w:t>modalité</w:t>
      </w:r>
      <w:r w:rsidRPr="00A83CE0">
        <w:rPr>
          <w:color w:val="000000"/>
          <w:sz w:val="12"/>
          <w:szCs w:val="12"/>
        </w:rPr>
        <w:t>s décrites ci-après prévaudront) :</w:t>
      </w:r>
    </w:p>
    <w:p w14:paraId="42DB96BF" w14:textId="77777777" w:rsidR="005A01A8" w:rsidRPr="00A83CE0" w:rsidRDefault="005A01A8" w:rsidP="005A01A8">
      <w:pPr>
        <w:pStyle w:val="BodyText"/>
        <w:spacing w:before="11"/>
        <w:jc w:val="left"/>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1238"/>
        <w:gridCol w:w="1238"/>
        <w:gridCol w:w="1238"/>
      </w:tblGrid>
      <w:tr w:rsidR="005A01A8" w:rsidRPr="00A83CE0" w14:paraId="47B3EECA" w14:textId="77777777" w:rsidTr="00B00D48">
        <w:trPr>
          <w:trHeight w:val="626"/>
        </w:trPr>
        <w:tc>
          <w:tcPr>
            <w:tcW w:w="1236" w:type="dxa"/>
          </w:tcPr>
          <w:p w14:paraId="7D330755" w14:textId="2E3B9684" w:rsidR="005A01A8" w:rsidRPr="00A83CE0" w:rsidRDefault="005A01A8" w:rsidP="00077A6E">
            <w:pPr>
              <w:pStyle w:val="TableParagraph"/>
              <w:ind w:right="126"/>
              <w:jc w:val="both"/>
              <w:rPr>
                <w:b/>
                <w:sz w:val="12"/>
                <w:szCs w:val="12"/>
              </w:rPr>
            </w:pPr>
            <w:r w:rsidRPr="00A83CE0">
              <w:rPr>
                <w:b/>
                <w:color w:val="000000"/>
                <w:sz w:val="12"/>
                <w:szCs w:val="12"/>
              </w:rPr>
              <w:t xml:space="preserve">Modalités d’expédition / Base de </w:t>
            </w:r>
            <w:r w:rsidR="003F3FC3">
              <w:rPr>
                <w:b/>
                <w:color w:val="000000"/>
                <w:sz w:val="12"/>
                <w:szCs w:val="12"/>
              </w:rPr>
              <w:t>Prix</w:t>
            </w:r>
          </w:p>
        </w:tc>
        <w:tc>
          <w:tcPr>
            <w:tcW w:w="1238" w:type="dxa"/>
          </w:tcPr>
          <w:p w14:paraId="1FF0C41F" w14:textId="77777777" w:rsidR="005A01A8" w:rsidRDefault="005A01A8" w:rsidP="00077A6E">
            <w:pPr>
              <w:pStyle w:val="TableParagraph"/>
              <w:ind w:left="59" w:right="112"/>
              <w:jc w:val="both"/>
              <w:rPr>
                <w:b/>
                <w:sz w:val="12"/>
                <w:szCs w:val="12"/>
              </w:rPr>
            </w:pPr>
            <w:r w:rsidRPr="00A83CE0">
              <w:rPr>
                <w:b/>
                <w:color w:val="000000"/>
                <w:sz w:val="12"/>
                <w:szCs w:val="12"/>
              </w:rPr>
              <w:t xml:space="preserve">Transfert du risque de perte et du titre </w:t>
            </w:r>
            <w:r w:rsidR="00B00D48">
              <w:rPr>
                <w:b/>
                <w:color w:val="000000"/>
                <w:sz w:val="12"/>
                <w:szCs w:val="12"/>
              </w:rPr>
              <w:t>au</w:t>
            </w:r>
          </w:p>
          <w:p w14:paraId="76C769FA" w14:textId="39641C5E" w:rsidR="00077A6E" w:rsidRPr="00A83CE0" w:rsidRDefault="00077A6E" w:rsidP="00077A6E">
            <w:pPr>
              <w:pStyle w:val="TableParagraph"/>
              <w:ind w:left="59" w:right="112"/>
              <w:jc w:val="both"/>
              <w:rPr>
                <w:b/>
                <w:sz w:val="12"/>
                <w:szCs w:val="12"/>
              </w:rPr>
            </w:pPr>
            <w:r>
              <w:rPr>
                <w:b/>
                <w:sz w:val="12"/>
                <w:szCs w:val="12"/>
              </w:rPr>
              <w:t>Client</w:t>
            </w:r>
          </w:p>
        </w:tc>
        <w:tc>
          <w:tcPr>
            <w:tcW w:w="1238" w:type="dxa"/>
          </w:tcPr>
          <w:p w14:paraId="5B399B32" w14:textId="77777777" w:rsidR="005A01A8" w:rsidRPr="00A83CE0" w:rsidRDefault="005A01A8" w:rsidP="00077A6E">
            <w:pPr>
              <w:pStyle w:val="TableParagraph"/>
              <w:ind w:right="108"/>
              <w:jc w:val="both"/>
              <w:rPr>
                <w:b/>
                <w:sz w:val="12"/>
                <w:szCs w:val="12"/>
              </w:rPr>
            </w:pPr>
            <w:r w:rsidRPr="00A83CE0">
              <w:rPr>
                <w:b/>
                <w:color w:val="000000"/>
                <w:spacing w:val="-1"/>
                <w:sz w:val="12"/>
                <w:szCs w:val="12"/>
              </w:rPr>
              <w:t>Courtage, fret et assurance</w:t>
            </w:r>
          </w:p>
        </w:tc>
        <w:tc>
          <w:tcPr>
            <w:tcW w:w="1238" w:type="dxa"/>
          </w:tcPr>
          <w:p w14:paraId="4C03C546" w14:textId="05D0D7D9" w:rsidR="005A01A8" w:rsidRPr="00A83CE0" w:rsidRDefault="005A01A8" w:rsidP="00077A6E">
            <w:pPr>
              <w:pStyle w:val="TableParagraph"/>
              <w:ind w:left="58" w:right="232"/>
              <w:jc w:val="both"/>
              <w:rPr>
                <w:b/>
                <w:sz w:val="12"/>
                <w:szCs w:val="12"/>
              </w:rPr>
            </w:pPr>
            <w:r w:rsidRPr="00A83CE0">
              <w:rPr>
                <w:b/>
                <w:color w:val="000000"/>
                <w:sz w:val="12"/>
                <w:szCs w:val="12"/>
              </w:rPr>
              <w:t>Droits à l’exportation et à l’importation</w:t>
            </w:r>
          </w:p>
        </w:tc>
      </w:tr>
      <w:tr w:rsidR="005A01A8" w:rsidRPr="00A83CE0" w14:paraId="5503147F" w14:textId="77777777" w:rsidTr="00EE371A">
        <w:trPr>
          <w:trHeight w:val="1336"/>
        </w:trPr>
        <w:tc>
          <w:tcPr>
            <w:tcW w:w="1236" w:type="dxa"/>
          </w:tcPr>
          <w:p w14:paraId="5CDC857C" w14:textId="3A207021" w:rsidR="005A01A8" w:rsidRPr="00A83CE0" w:rsidRDefault="005A01A8" w:rsidP="00EE371A">
            <w:pPr>
              <w:pStyle w:val="TableParagraph"/>
              <w:ind w:right="371"/>
              <w:rPr>
                <w:sz w:val="12"/>
                <w:szCs w:val="12"/>
              </w:rPr>
            </w:pPr>
            <w:r w:rsidRPr="00A83CE0">
              <w:rPr>
                <w:color w:val="000000"/>
                <w:sz w:val="12"/>
                <w:szCs w:val="12"/>
              </w:rPr>
              <w:t>F</w:t>
            </w:r>
            <w:r w:rsidR="001C3FE3">
              <w:rPr>
                <w:color w:val="000000"/>
                <w:sz w:val="12"/>
                <w:szCs w:val="12"/>
              </w:rPr>
              <w:t>.</w:t>
            </w:r>
            <w:r w:rsidR="005A7E41">
              <w:rPr>
                <w:color w:val="000000"/>
                <w:sz w:val="12"/>
                <w:szCs w:val="12"/>
              </w:rPr>
              <w:t>A</w:t>
            </w:r>
            <w:r w:rsidR="001C3FE3">
              <w:rPr>
                <w:color w:val="000000"/>
                <w:sz w:val="12"/>
                <w:szCs w:val="12"/>
              </w:rPr>
              <w:t>.</w:t>
            </w:r>
            <w:r w:rsidRPr="00A83CE0">
              <w:rPr>
                <w:color w:val="000000"/>
                <w:sz w:val="12"/>
                <w:szCs w:val="12"/>
              </w:rPr>
              <w:t>B</w:t>
            </w:r>
            <w:r w:rsidR="001C3FE3">
              <w:rPr>
                <w:color w:val="000000"/>
                <w:sz w:val="12"/>
                <w:szCs w:val="12"/>
              </w:rPr>
              <w:t>.</w:t>
            </w:r>
            <w:r w:rsidRPr="00A83CE0">
              <w:rPr>
                <w:color w:val="000000"/>
                <w:sz w:val="12"/>
                <w:szCs w:val="12"/>
              </w:rPr>
              <w:t xml:space="preserve"> </w:t>
            </w:r>
            <w:r w:rsidR="001C3FE3">
              <w:rPr>
                <w:color w:val="000000"/>
                <w:sz w:val="12"/>
                <w:szCs w:val="12"/>
              </w:rPr>
              <w:t>usine</w:t>
            </w:r>
            <w:r w:rsidRPr="00A83CE0">
              <w:rPr>
                <w:color w:val="000000"/>
                <w:sz w:val="12"/>
                <w:szCs w:val="12"/>
              </w:rPr>
              <w:t xml:space="preserve"> (s’applique uniquement aux ventes nationales)</w:t>
            </w:r>
          </w:p>
        </w:tc>
        <w:tc>
          <w:tcPr>
            <w:tcW w:w="1238" w:type="dxa"/>
          </w:tcPr>
          <w:p w14:paraId="15F4EE97" w14:textId="2FEC1247" w:rsidR="005A01A8" w:rsidRPr="00A83CE0" w:rsidRDefault="005A01A8" w:rsidP="00624714">
            <w:pPr>
              <w:pStyle w:val="TableParagraph"/>
              <w:ind w:left="59" w:right="29"/>
              <w:rPr>
                <w:sz w:val="12"/>
                <w:szCs w:val="12"/>
              </w:rPr>
            </w:pPr>
            <w:r w:rsidRPr="00A83CE0">
              <w:rPr>
                <w:color w:val="000000"/>
                <w:sz w:val="12"/>
                <w:szCs w:val="12"/>
              </w:rPr>
              <w:t xml:space="preserve">À la </w:t>
            </w:r>
            <w:r w:rsidR="00BD6913">
              <w:rPr>
                <w:color w:val="000000"/>
                <w:sz w:val="12"/>
                <w:szCs w:val="12"/>
              </w:rPr>
              <w:t>réalisation</w:t>
            </w:r>
            <w:r w:rsidRPr="00A83CE0">
              <w:rPr>
                <w:color w:val="000000"/>
                <w:sz w:val="12"/>
                <w:szCs w:val="12"/>
              </w:rPr>
              <w:t xml:space="preserve"> du chargement d’un camion ou d’un wagon de chemin de fer à l</w:t>
            </w:r>
            <w:proofErr w:type="gramStart"/>
            <w:r w:rsidRPr="00A83CE0">
              <w:rPr>
                <w:color w:val="000000"/>
                <w:sz w:val="12"/>
                <w:szCs w:val="12"/>
              </w:rPr>
              <w:t>’«</w:t>
            </w:r>
            <w:proofErr w:type="gramEnd"/>
            <w:r w:rsidRPr="00A83CE0">
              <w:rPr>
                <w:color w:val="000000"/>
                <w:sz w:val="12"/>
                <w:szCs w:val="12"/>
              </w:rPr>
              <w:t> usine » indiqué</w:t>
            </w:r>
            <w:r w:rsidR="00746FD5">
              <w:rPr>
                <w:color w:val="000000"/>
                <w:sz w:val="12"/>
                <w:szCs w:val="12"/>
              </w:rPr>
              <w:t>e</w:t>
            </w:r>
            <w:r w:rsidRPr="00A83CE0">
              <w:rPr>
                <w:color w:val="000000"/>
                <w:sz w:val="12"/>
                <w:szCs w:val="12"/>
              </w:rPr>
              <w:t xml:space="preserve"> </w:t>
            </w:r>
            <w:r w:rsidR="00746FD5">
              <w:rPr>
                <w:color w:val="000000"/>
                <w:sz w:val="12"/>
                <w:szCs w:val="12"/>
              </w:rPr>
              <w:t>dans</w:t>
            </w:r>
            <w:r w:rsidRPr="00A83CE0">
              <w:rPr>
                <w:color w:val="000000"/>
                <w:sz w:val="12"/>
                <w:szCs w:val="12"/>
              </w:rPr>
              <w:t xml:space="preserve"> le </w:t>
            </w:r>
            <w:r w:rsidR="0079793D">
              <w:rPr>
                <w:color w:val="000000"/>
                <w:sz w:val="12"/>
                <w:szCs w:val="12"/>
              </w:rPr>
              <w:t xml:space="preserve">Contrat de vente </w:t>
            </w:r>
            <w:r w:rsidRPr="00A83CE0">
              <w:rPr>
                <w:color w:val="000000"/>
                <w:sz w:val="12"/>
                <w:szCs w:val="12"/>
              </w:rPr>
              <w:t xml:space="preserve">ou, le cas échéant, l’installation de rechargement ou de refabrication à partir de laquelle les </w:t>
            </w:r>
            <w:r w:rsidR="0079793D">
              <w:rPr>
                <w:color w:val="000000"/>
                <w:sz w:val="12"/>
                <w:szCs w:val="12"/>
              </w:rPr>
              <w:t xml:space="preserve">Produits de bois d’œuvre </w:t>
            </w:r>
            <w:r w:rsidRPr="00A83CE0">
              <w:rPr>
                <w:color w:val="000000"/>
                <w:sz w:val="12"/>
                <w:szCs w:val="12"/>
              </w:rPr>
              <w:t xml:space="preserve">sont livrés </w:t>
            </w:r>
            <w:r w:rsidR="00624714">
              <w:rPr>
                <w:color w:val="000000"/>
                <w:sz w:val="12"/>
                <w:szCs w:val="12"/>
              </w:rPr>
              <w:t xml:space="preserve">au </w:t>
            </w:r>
            <w:r w:rsidR="003F3FC3">
              <w:rPr>
                <w:color w:val="000000"/>
                <w:sz w:val="12"/>
                <w:szCs w:val="12"/>
              </w:rPr>
              <w:t>Client</w:t>
            </w:r>
            <w:r w:rsidR="00624714">
              <w:rPr>
                <w:color w:val="000000"/>
                <w:sz w:val="12"/>
                <w:szCs w:val="12"/>
              </w:rPr>
              <w:t>.</w:t>
            </w:r>
          </w:p>
        </w:tc>
        <w:tc>
          <w:tcPr>
            <w:tcW w:w="1238" w:type="dxa"/>
          </w:tcPr>
          <w:p w14:paraId="7071E321" w14:textId="71100069" w:rsidR="005A01A8" w:rsidRPr="00A83CE0" w:rsidRDefault="005A01A8" w:rsidP="00EE371A">
            <w:pPr>
              <w:pStyle w:val="TableParagraph"/>
              <w:ind w:right="197"/>
              <w:rPr>
                <w:sz w:val="12"/>
                <w:szCs w:val="12"/>
              </w:rPr>
            </w:pPr>
            <w:r w:rsidRPr="00A83CE0">
              <w:rPr>
                <w:color w:val="000000"/>
                <w:spacing w:val="-1"/>
                <w:sz w:val="12"/>
                <w:szCs w:val="12"/>
              </w:rPr>
              <w:t xml:space="preserve">Le </w:t>
            </w:r>
            <w:r w:rsidR="003F3FC3">
              <w:rPr>
                <w:color w:val="000000"/>
                <w:spacing w:val="-1"/>
                <w:sz w:val="12"/>
                <w:szCs w:val="12"/>
              </w:rPr>
              <w:t>Client</w:t>
            </w:r>
            <w:r w:rsidRPr="00A83CE0">
              <w:rPr>
                <w:color w:val="000000"/>
                <w:spacing w:val="-1"/>
                <w:sz w:val="12"/>
                <w:szCs w:val="12"/>
              </w:rPr>
              <w:t xml:space="preserve"> organise et </w:t>
            </w:r>
            <w:r w:rsidR="00EC6840">
              <w:rPr>
                <w:color w:val="000000"/>
                <w:spacing w:val="-1"/>
                <w:sz w:val="12"/>
                <w:szCs w:val="12"/>
              </w:rPr>
              <w:t>paie</w:t>
            </w:r>
            <w:r w:rsidRPr="00A83CE0">
              <w:rPr>
                <w:color w:val="000000"/>
                <w:spacing w:val="-1"/>
                <w:sz w:val="12"/>
                <w:szCs w:val="12"/>
              </w:rPr>
              <w:t xml:space="preserve"> tous les </w:t>
            </w:r>
            <w:r w:rsidR="00F92FC1">
              <w:rPr>
                <w:color w:val="000000"/>
                <w:spacing w:val="-1"/>
                <w:sz w:val="12"/>
                <w:szCs w:val="12"/>
              </w:rPr>
              <w:t xml:space="preserve">frais de </w:t>
            </w:r>
            <w:r w:rsidRPr="00A83CE0">
              <w:rPr>
                <w:color w:val="000000"/>
                <w:spacing w:val="-1"/>
                <w:sz w:val="12"/>
                <w:szCs w:val="12"/>
              </w:rPr>
              <w:t xml:space="preserve">courtage, </w:t>
            </w:r>
            <w:r w:rsidR="008A286B">
              <w:rPr>
                <w:color w:val="000000"/>
                <w:spacing w:val="-1"/>
                <w:sz w:val="12"/>
                <w:szCs w:val="12"/>
              </w:rPr>
              <w:t>le</w:t>
            </w:r>
            <w:r w:rsidRPr="00A83CE0">
              <w:rPr>
                <w:color w:val="000000"/>
                <w:spacing w:val="-1"/>
                <w:sz w:val="12"/>
                <w:szCs w:val="12"/>
              </w:rPr>
              <w:t xml:space="preserve"> fret et </w:t>
            </w:r>
            <w:r w:rsidR="008A286B">
              <w:rPr>
                <w:color w:val="000000"/>
                <w:spacing w:val="-1"/>
                <w:sz w:val="12"/>
                <w:szCs w:val="12"/>
              </w:rPr>
              <w:t xml:space="preserve">la </w:t>
            </w:r>
            <w:r w:rsidR="001F13D3">
              <w:rPr>
                <w:color w:val="000000"/>
                <w:spacing w:val="-1"/>
                <w:sz w:val="12"/>
                <w:szCs w:val="12"/>
              </w:rPr>
              <w:t xml:space="preserve">couverture </w:t>
            </w:r>
            <w:r w:rsidRPr="00A83CE0">
              <w:rPr>
                <w:color w:val="000000"/>
                <w:spacing w:val="-1"/>
                <w:sz w:val="12"/>
                <w:szCs w:val="12"/>
              </w:rPr>
              <w:t xml:space="preserve">d’assurance </w:t>
            </w:r>
            <w:r w:rsidR="0001695E">
              <w:rPr>
                <w:color w:val="000000"/>
                <w:spacing w:val="-1"/>
                <w:sz w:val="12"/>
                <w:szCs w:val="12"/>
              </w:rPr>
              <w:t>jusqu’</w:t>
            </w:r>
            <w:r w:rsidRPr="00A83CE0">
              <w:rPr>
                <w:color w:val="000000"/>
                <w:spacing w:val="-1"/>
                <w:sz w:val="12"/>
                <w:szCs w:val="12"/>
              </w:rPr>
              <w:t xml:space="preserve">à </w:t>
            </w:r>
            <w:r w:rsidR="00743D6A">
              <w:rPr>
                <w:color w:val="000000"/>
                <w:spacing w:val="-1"/>
                <w:sz w:val="12"/>
                <w:szCs w:val="12"/>
              </w:rPr>
              <w:t xml:space="preserve">la </w:t>
            </w:r>
            <w:r w:rsidR="00686DB9">
              <w:rPr>
                <w:color w:val="000000"/>
                <w:spacing w:val="-1"/>
                <w:sz w:val="12"/>
                <w:szCs w:val="12"/>
              </w:rPr>
              <w:t>D</w:t>
            </w:r>
            <w:r w:rsidRPr="00A83CE0">
              <w:rPr>
                <w:color w:val="000000"/>
                <w:spacing w:val="-1"/>
                <w:sz w:val="12"/>
                <w:szCs w:val="12"/>
              </w:rPr>
              <w:t>estination finale.</w:t>
            </w:r>
          </w:p>
        </w:tc>
        <w:tc>
          <w:tcPr>
            <w:tcW w:w="1238" w:type="dxa"/>
          </w:tcPr>
          <w:p w14:paraId="5C2365BE" w14:textId="77777777" w:rsidR="005A01A8" w:rsidRPr="00A83CE0" w:rsidRDefault="005A01A8" w:rsidP="00EE371A">
            <w:pPr>
              <w:pStyle w:val="TableParagraph"/>
              <w:ind w:left="58"/>
              <w:rPr>
                <w:sz w:val="12"/>
                <w:szCs w:val="12"/>
              </w:rPr>
            </w:pPr>
            <w:r w:rsidRPr="00A83CE0">
              <w:rPr>
                <w:color w:val="000000"/>
                <w:sz w:val="12"/>
                <w:szCs w:val="12"/>
              </w:rPr>
              <w:t>Sans objet.</w:t>
            </w:r>
          </w:p>
        </w:tc>
      </w:tr>
      <w:tr w:rsidR="005A01A8" w:rsidRPr="00A83CE0" w14:paraId="73FD346F" w14:textId="77777777" w:rsidTr="00EE371A">
        <w:trPr>
          <w:trHeight w:val="1701"/>
        </w:trPr>
        <w:tc>
          <w:tcPr>
            <w:tcW w:w="1236" w:type="dxa"/>
          </w:tcPr>
          <w:p w14:paraId="72362A3E" w14:textId="55815232" w:rsidR="005A01A8" w:rsidRPr="00A83CE0" w:rsidRDefault="005A01A8" w:rsidP="00EE371A">
            <w:pPr>
              <w:pStyle w:val="TableParagraph"/>
              <w:ind w:right="318"/>
              <w:rPr>
                <w:sz w:val="12"/>
                <w:szCs w:val="12"/>
              </w:rPr>
            </w:pPr>
            <w:r w:rsidRPr="00A83CE0">
              <w:rPr>
                <w:color w:val="000000"/>
                <w:sz w:val="12"/>
                <w:szCs w:val="12"/>
              </w:rPr>
              <w:t>F</w:t>
            </w:r>
            <w:r w:rsidR="001C3FE3">
              <w:rPr>
                <w:color w:val="000000"/>
                <w:sz w:val="12"/>
                <w:szCs w:val="12"/>
              </w:rPr>
              <w:t>.A.B. usine</w:t>
            </w:r>
            <w:r w:rsidRPr="00A83CE0">
              <w:rPr>
                <w:color w:val="000000"/>
                <w:sz w:val="12"/>
                <w:szCs w:val="12"/>
              </w:rPr>
              <w:t>, fret payé d’avance</w:t>
            </w:r>
          </w:p>
          <w:p w14:paraId="22FF921F" w14:textId="7B419C00" w:rsidR="005A01A8" w:rsidRPr="00A83CE0" w:rsidRDefault="005A01A8" w:rsidP="00EE371A">
            <w:pPr>
              <w:pStyle w:val="TableParagraph"/>
              <w:ind w:right="131"/>
              <w:rPr>
                <w:sz w:val="12"/>
                <w:szCs w:val="12"/>
              </w:rPr>
            </w:pPr>
            <w:r w:rsidRPr="00A83CE0">
              <w:rPr>
                <w:color w:val="000000"/>
                <w:sz w:val="12"/>
                <w:szCs w:val="12"/>
              </w:rPr>
              <w:t>(</w:t>
            </w:r>
            <w:proofErr w:type="gramStart"/>
            <w:r w:rsidRPr="00A83CE0">
              <w:rPr>
                <w:color w:val="000000"/>
                <w:sz w:val="12"/>
                <w:szCs w:val="12"/>
              </w:rPr>
              <w:t>s’applique</w:t>
            </w:r>
            <w:proofErr w:type="gramEnd"/>
            <w:r w:rsidRPr="00A83CE0">
              <w:rPr>
                <w:color w:val="000000"/>
                <w:sz w:val="12"/>
                <w:szCs w:val="12"/>
              </w:rPr>
              <w:t xml:space="preserve"> </w:t>
            </w:r>
            <w:r w:rsidR="00B00DD0">
              <w:rPr>
                <w:color w:val="000000"/>
                <w:sz w:val="12"/>
                <w:szCs w:val="12"/>
              </w:rPr>
              <w:t>unique</w:t>
            </w:r>
            <w:r w:rsidR="00A4211F">
              <w:rPr>
                <w:color w:val="000000"/>
                <w:sz w:val="12"/>
                <w:szCs w:val="12"/>
              </w:rPr>
              <w:t xml:space="preserve">ment </w:t>
            </w:r>
            <w:r w:rsidRPr="00A83CE0">
              <w:rPr>
                <w:color w:val="000000"/>
                <w:sz w:val="12"/>
                <w:szCs w:val="12"/>
              </w:rPr>
              <w:t xml:space="preserve">aux ventes </w:t>
            </w:r>
            <w:r w:rsidR="00B00DD0">
              <w:rPr>
                <w:color w:val="000000"/>
                <w:sz w:val="12"/>
                <w:szCs w:val="12"/>
              </w:rPr>
              <w:t>nationales</w:t>
            </w:r>
            <w:r w:rsidRPr="00A83CE0">
              <w:rPr>
                <w:color w:val="000000"/>
                <w:sz w:val="12"/>
                <w:szCs w:val="12"/>
              </w:rPr>
              <w:t xml:space="preserve"> et aux ventes </w:t>
            </w:r>
            <w:r w:rsidR="00C878AB">
              <w:rPr>
                <w:color w:val="000000"/>
                <w:sz w:val="12"/>
                <w:szCs w:val="12"/>
              </w:rPr>
              <w:t>des</w:t>
            </w:r>
            <w:r w:rsidRPr="00A83CE0">
              <w:rPr>
                <w:color w:val="000000"/>
                <w:sz w:val="12"/>
                <w:szCs w:val="12"/>
              </w:rPr>
              <w:t xml:space="preserve"> États-Unis</w:t>
            </w:r>
            <w:r w:rsidR="00C878AB">
              <w:rPr>
                <w:color w:val="000000"/>
                <w:sz w:val="12"/>
                <w:szCs w:val="12"/>
              </w:rPr>
              <w:t xml:space="preserve"> au Canada</w:t>
            </w:r>
            <w:r w:rsidRPr="00A83CE0">
              <w:rPr>
                <w:color w:val="000000"/>
                <w:sz w:val="12"/>
                <w:szCs w:val="12"/>
              </w:rPr>
              <w:t>)</w:t>
            </w:r>
          </w:p>
        </w:tc>
        <w:tc>
          <w:tcPr>
            <w:tcW w:w="1238" w:type="dxa"/>
          </w:tcPr>
          <w:p w14:paraId="41958401" w14:textId="46A6261C" w:rsidR="005A01A8" w:rsidRPr="00A83CE0" w:rsidRDefault="005A01A8" w:rsidP="00EE371A">
            <w:pPr>
              <w:pStyle w:val="TableParagraph"/>
              <w:ind w:left="59" w:right="42"/>
              <w:rPr>
                <w:sz w:val="12"/>
                <w:szCs w:val="12"/>
              </w:rPr>
            </w:pPr>
            <w:r w:rsidRPr="00A83CE0">
              <w:rPr>
                <w:color w:val="000000"/>
                <w:sz w:val="12"/>
                <w:szCs w:val="12"/>
              </w:rPr>
              <w:t xml:space="preserve">À la </w:t>
            </w:r>
            <w:r w:rsidR="00624714">
              <w:rPr>
                <w:color w:val="000000"/>
                <w:sz w:val="12"/>
                <w:szCs w:val="12"/>
              </w:rPr>
              <w:t>réalisation</w:t>
            </w:r>
            <w:r w:rsidRPr="00A83CE0">
              <w:rPr>
                <w:color w:val="000000"/>
                <w:sz w:val="12"/>
                <w:szCs w:val="12"/>
              </w:rPr>
              <w:t xml:space="preserve"> du chargement d’un camion ou d’un wagon de chemin de fer à l</w:t>
            </w:r>
            <w:proofErr w:type="gramStart"/>
            <w:r w:rsidRPr="00A83CE0">
              <w:rPr>
                <w:color w:val="000000"/>
                <w:sz w:val="12"/>
                <w:szCs w:val="12"/>
              </w:rPr>
              <w:t>’«</w:t>
            </w:r>
            <w:proofErr w:type="gramEnd"/>
            <w:r w:rsidRPr="00A83CE0">
              <w:rPr>
                <w:color w:val="000000"/>
                <w:sz w:val="12"/>
                <w:szCs w:val="12"/>
              </w:rPr>
              <w:t xml:space="preserve"> usine » indiquée dans le </w:t>
            </w:r>
            <w:r w:rsidR="0079793D">
              <w:rPr>
                <w:color w:val="000000"/>
                <w:sz w:val="12"/>
                <w:szCs w:val="12"/>
              </w:rPr>
              <w:t xml:space="preserve">Contrat de vente </w:t>
            </w:r>
            <w:r w:rsidRPr="00A83CE0">
              <w:rPr>
                <w:color w:val="000000"/>
                <w:sz w:val="12"/>
                <w:szCs w:val="12"/>
              </w:rPr>
              <w:t xml:space="preserve">ou, le cas échéant, l’installation de rechargement ou de refabrication à partir de laquelle les </w:t>
            </w:r>
            <w:r w:rsidR="0079793D">
              <w:rPr>
                <w:color w:val="000000"/>
                <w:sz w:val="12"/>
                <w:szCs w:val="12"/>
              </w:rPr>
              <w:t xml:space="preserve">Produits de bois d’œuvre </w:t>
            </w:r>
            <w:r w:rsidRPr="00A83CE0">
              <w:rPr>
                <w:color w:val="000000"/>
                <w:sz w:val="12"/>
                <w:szCs w:val="12"/>
              </w:rPr>
              <w:t xml:space="preserve">sont livrés au </w:t>
            </w:r>
            <w:r w:rsidR="003F3FC3">
              <w:rPr>
                <w:color w:val="000000"/>
                <w:sz w:val="12"/>
                <w:szCs w:val="12"/>
              </w:rPr>
              <w:t>Client</w:t>
            </w:r>
            <w:r w:rsidRPr="00A83CE0">
              <w:rPr>
                <w:color w:val="000000"/>
                <w:sz w:val="12"/>
                <w:szCs w:val="12"/>
              </w:rPr>
              <w:t>.</w:t>
            </w:r>
          </w:p>
        </w:tc>
        <w:tc>
          <w:tcPr>
            <w:tcW w:w="1238" w:type="dxa"/>
          </w:tcPr>
          <w:p w14:paraId="1FF604EA" w14:textId="7FC09F74" w:rsidR="005A01A8" w:rsidRPr="00A83CE0" w:rsidRDefault="005A01A8" w:rsidP="00EE371A">
            <w:pPr>
              <w:pStyle w:val="TableParagraph"/>
              <w:ind w:right="30"/>
              <w:rPr>
                <w:sz w:val="12"/>
                <w:szCs w:val="12"/>
              </w:rPr>
            </w:pPr>
            <w:r w:rsidRPr="00A83CE0">
              <w:rPr>
                <w:color w:val="000000"/>
                <w:sz w:val="12"/>
                <w:szCs w:val="12"/>
              </w:rPr>
              <w:t xml:space="preserve">Interfor organise, et le </w:t>
            </w:r>
            <w:r w:rsidR="003F3FC3">
              <w:rPr>
                <w:color w:val="000000"/>
                <w:sz w:val="12"/>
                <w:szCs w:val="12"/>
              </w:rPr>
              <w:t>Prix</w:t>
            </w:r>
            <w:r w:rsidRPr="00A83CE0">
              <w:rPr>
                <w:color w:val="000000"/>
                <w:sz w:val="12"/>
                <w:szCs w:val="12"/>
              </w:rPr>
              <w:t xml:space="preserve"> comprend tous les </w:t>
            </w:r>
            <w:r w:rsidR="00DB2847">
              <w:rPr>
                <w:color w:val="000000"/>
                <w:sz w:val="12"/>
                <w:szCs w:val="12"/>
              </w:rPr>
              <w:t xml:space="preserve">frais de </w:t>
            </w:r>
            <w:r w:rsidRPr="00A83CE0">
              <w:rPr>
                <w:color w:val="000000"/>
                <w:sz w:val="12"/>
                <w:szCs w:val="12"/>
              </w:rPr>
              <w:t xml:space="preserve">courtage et le fret jusqu’à </w:t>
            </w:r>
            <w:r w:rsidR="002B1D94">
              <w:rPr>
                <w:color w:val="000000"/>
                <w:sz w:val="12"/>
                <w:szCs w:val="12"/>
              </w:rPr>
              <w:t xml:space="preserve">la </w:t>
            </w:r>
            <w:r w:rsidRPr="00A83CE0">
              <w:rPr>
                <w:color w:val="000000"/>
                <w:sz w:val="12"/>
                <w:szCs w:val="12"/>
              </w:rPr>
              <w:t xml:space="preserve">destination finale. Le </w:t>
            </w:r>
            <w:r w:rsidR="003F3FC3">
              <w:rPr>
                <w:color w:val="000000"/>
                <w:sz w:val="12"/>
                <w:szCs w:val="12"/>
              </w:rPr>
              <w:t>Client</w:t>
            </w:r>
            <w:r w:rsidRPr="00A83CE0">
              <w:rPr>
                <w:color w:val="000000"/>
                <w:sz w:val="12"/>
                <w:szCs w:val="12"/>
              </w:rPr>
              <w:t xml:space="preserve"> organise et règle toute la </w:t>
            </w:r>
            <w:r w:rsidR="002B1D94">
              <w:rPr>
                <w:color w:val="000000"/>
                <w:sz w:val="12"/>
                <w:szCs w:val="12"/>
              </w:rPr>
              <w:t>couverture</w:t>
            </w:r>
            <w:r w:rsidRPr="00A83CE0">
              <w:rPr>
                <w:color w:val="000000"/>
                <w:sz w:val="12"/>
                <w:szCs w:val="12"/>
              </w:rPr>
              <w:t xml:space="preserve"> d’assurance à </w:t>
            </w:r>
            <w:r w:rsidR="00D10FB1">
              <w:rPr>
                <w:color w:val="000000"/>
                <w:sz w:val="12"/>
                <w:szCs w:val="12"/>
              </w:rPr>
              <w:t>parti</w:t>
            </w:r>
            <w:r w:rsidRPr="00A83CE0">
              <w:rPr>
                <w:color w:val="000000"/>
                <w:sz w:val="12"/>
                <w:szCs w:val="12"/>
              </w:rPr>
              <w:t xml:space="preserve">r du transfert du risque de perte et du titre au </w:t>
            </w:r>
            <w:r w:rsidR="003F3FC3">
              <w:rPr>
                <w:color w:val="000000"/>
                <w:sz w:val="12"/>
                <w:szCs w:val="12"/>
              </w:rPr>
              <w:t>Client</w:t>
            </w:r>
            <w:r w:rsidRPr="00A83CE0">
              <w:rPr>
                <w:color w:val="000000"/>
                <w:sz w:val="12"/>
                <w:szCs w:val="12"/>
              </w:rPr>
              <w:t>.</w:t>
            </w:r>
          </w:p>
        </w:tc>
        <w:tc>
          <w:tcPr>
            <w:tcW w:w="1238" w:type="dxa"/>
          </w:tcPr>
          <w:p w14:paraId="3C2743B9" w14:textId="58FEBBAB" w:rsidR="005A01A8" w:rsidRPr="00A83CE0" w:rsidRDefault="005A01A8" w:rsidP="00EE371A">
            <w:pPr>
              <w:pStyle w:val="TableParagraph"/>
              <w:ind w:left="58" w:right="73"/>
              <w:rPr>
                <w:sz w:val="12"/>
                <w:szCs w:val="12"/>
              </w:rPr>
            </w:pPr>
            <w:r w:rsidRPr="00A83CE0">
              <w:rPr>
                <w:color w:val="000000"/>
                <w:sz w:val="12"/>
                <w:szCs w:val="12"/>
              </w:rPr>
              <w:t xml:space="preserve">Pour les ventes </w:t>
            </w:r>
            <w:r w:rsidR="00D10FB1">
              <w:rPr>
                <w:color w:val="000000"/>
                <w:sz w:val="12"/>
                <w:szCs w:val="12"/>
              </w:rPr>
              <w:t>d</w:t>
            </w:r>
            <w:r w:rsidRPr="00A83CE0">
              <w:rPr>
                <w:color w:val="000000"/>
                <w:sz w:val="12"/>
                <w:szCs w:val="12"/>
              </w:rPr>
              <w:t>es États-Unis</w:t>
            </w:r>
            <w:r w:rsidR="00D10FB1">
              <w:rPr>
                <w:color w:val="000000"/>
                <w:sz w:val="12"/>
                <w:szCs w:val="12"/>
              </w:rPr>
              <w:t xml:space="preserve"> au </w:t>
            </w:r>
            <w:r w:rsidRPr="00A83CE0">
              <w:rPr>
                <w:color w:val="000000"/>
                <w:sz w:val="12"/>
                <w:szCs w:val="12"/>
              </w:rPr>
              <w:t xml:space="preserve">Canada, le </w:t>
            </w:r>
            <w:r w:rsidR="003F3FC3">
              <w:rPr>
                <w:color w:val="000000"/>
                <w:sz w:val="12"/>
                <w:szCs w:val="12"/>
              </w:rPr>
              <w:t>Client</w:t>
            </w:r>
            <w:r w:rsidRPr="00A83CE0">
              <w:rPr>
                <w:color w:val="000000"/>
                <w:sz w:val="12"/>
                <w:szCs w:val="12"/>
              </w:rPr>
              <w:t xml:space="preserve"> </w:t>
            </w:r>
            <w:r w:rsidR="00801AFB">
              <w:rPr>
                <w:color w:val="000000"/>
                <w:sz w:val="12"/>
                <w:szCs w:val="12"/>
              </w:rPr>
              <w:t>règle</w:t>
            </w:r>
            <w:r w:rsidRPr="00A83CE0">
              <w:rPr>
                <w:color w:val="000000"/>
                <w:sz w:val="12"/>
                <w:szCs w:val="12"/>
              </w:rPr>
              <w:t xml:space="preserve"> tous les droits à l’exportation et à l’importation</w:t>
            </w:r>
            <w:r w:rsidR="00801AFB" w:rsidRPr="00801AFB">
              <w:rPr>
                <w:color w:val="000000"/>
                <w:sz w:val="12"/>
                <w:szCs w:val="12"/>
              </w:rPr>
              <w:t xml:space="preserve"> et </w:t>
            </w:r>
            <w:r w:rsidR="00801AFB">
              <w:rPr>
                <w:color w:val="000000"/>
                <w:sz w:val="12"/>
                <w:szCs w:val="12"/>
              </w:rPr>
              <w:t xml:space="preserve">les </w:t>
            </w:r>
            <w:r w:rsidR="003F3FC3">
              <w:rPr>
                <w:color w:val="000000"/>
                <w:sz w:val="12"/>
                <w:szCs w:val="12"/>
              </w:rPr>
              <w:t>Taxes</w:t>
            </w:r>
            <w:r w:rsidRPr="00A83CE0">
              <w:rPr>
                <w:color w:val="000000"/>
                <w:sz w:val="12"/>
                <w:szCs w:val="12"/>
              </w:rPr>
              <w:t>.</w:t>
            </w:r>
          </w:p>
          <w:p w14:paraId="33197DD5" w14:textId="64272B45" w:rsidR="005A01A8" w:rsidRPr="00A83CE0" w:rsidRDefault="005A01A8" w:rsidP="00FE461F">
            <w:pPr>
              <w:pStyle w:val="TableParagraph"/>
              <w:spacing w:before="1"/>
              <w:ind w:left="58" w:right="40"/>
              <w:rPr>
                <w:sz w:val="12"/>
                <w:szCs w:val="12"/>
              </w:rPr>
            </w:pPr>
            <w:r w:rsidRPr="00A83CE0">
              <w:rPr>
                <w:color w:val="000000"/>
                <w:sz w:val="12"/>
                <w:szCs w:val="12"/>
              </w:rPr>
              <w:t xml:space="preserve">Interfor est l’importateur </w:t>
            </w:r>
            <w:r w:rsidR="00E674A5">
              <w:rPr>
                <w:color w:val="000000"/>
                <w:sz w:val="12"/>
                <w:szCs w:val="12"/>
              </w:rPr>
              <w:t>inscrit</w:t>
            </w:r>
            <w:r w:rsidRPr="00A83CE0">
              <w:rPr>
                <w:color w:val="000000"/>
                <w:sz w:val="12"/>
                <w:szCs w:val="12"/>
              </w:rPr>
              <w:t xml:space="preserve">. Le </w:t>
            </w:r>
            <w:r w:rsidR="003F3FC3">
              <w:rPr>
                <w:color w:val="000000"/>
                <w:sz w:val="12"/>
                <w:szCs w:val="12"/>
              </w:rPr>
              <w:t>Client</w:t>
            </w:r>
            <w:r w:rsidRPr="00A83CE0">
              <w:rPr>
                <w:color w:val="000000"/>
                <w:sz w:val="12"/>
                <w:szCs w:val="12"/>
              </w:rPr>
              <w:t xml:space="preserve"> convient de signer un </w:t>
            </w:r>
            <w:r w:rsidR="008152A2" w:rsidRPr="00A15E8E">
              <w:rPr>
                <w:i/>
                <w:iCs/>
                <w:color w:val="000000"/>
                <w:sz w:val="12"/>
                <w:szCs w:val="12"/>
              </w:rPr>
              <w:t>Accord</w:t>
            </w:r>
            <w:r w:rsidRPr="00A15E8E">
              <w:rPr>
                <w:i/>
                <w:iCs/>
                <w:color w:val="000000"/>
                <w:sz w:val="12"/>
                <w:szCs w:val="12"/>
              </w:rPr>
              <w:t xml:space="preserve"> entre fournisseur et importateur </w:t>
            </w:r>
            <w:r w:rsidR="00A15E8E" w:rsidRPr="00A15E8E">
              <w:rPr>
                <w:i/>
                <w:iCs/>
                <w:color w:val="000000"/>
                <w:sz w:val="12"/>
                <w:szCs w:val="12"/>
              </w:rPr>
              <w:t>effectif</w:t>
            </w:r>
            <w:r w:rsidRPr="00A83CE0">
              <w:rPr>
                <w:color w:val="000000"/>
                <w:sz w:val="12"/>
                <w:szCs w:val="12"/>
              </w:rPr>
              <w:t xml:space="preserve"> </w:t>
            </w:r>
            <w:r w:rsidR="00A15E8E" w:rsidRPr="00A15E8E">
              <w:rPr>
                <w:color w:val="000000"/>
                <w:sz w:val="12"/>
                <w:szCs w:val="12"/>
              </w:rPr>
              <w:t xml:space="preserve">distinct </w:t>
            </w:r>
            <w:r w:rsidRPr="00A83CE0">
              <w:rPr>
                <w:color w:val="000000"/>
                <w:sz w:val="12"/>
                <w:szCs w:val="12"/>
              </w:rPr>
              <w:t>en la forme prescrite par l</w:t>
            </w:r>
            <w:r w:rsidR="00FE461F">
              <w:rPr>
                <w:color w:val="000000"/>
                <w:sz w:val="12"/>
                <w:szCs w:val="12"/>
              </w:rPr>
              <w:t>’</w:t>
            </w:r>
            <w:r w:rsidRPr="00A83CE0">
              <w:rPr>
                <w:color w:val="000000"/>
                <w:sz w:val="12"/>
                <w:szCs w:val="12"/>
              </w:rPr>
              <w:t>Agence du revenu</w:t>
            </w:r>
            <w:r w:rsidR="00FE461F">
              <w:rPr>
                <w:color w:val="000000"/>
                <w:sz w:val="12"/>
                <w:szCs w:val="12"/>
              </w:rPr>
              <w:t xml:space="preserve"> du Canada</w:t>
            </w:r>
            <w:r w:rsidRPr="00A83CE0">
              <w:rPr>
                <w:color w:val="000000"/>
                <w:sz w:val="12"/>
                <w:szCs w:val="12"/>
              </w:rPr>
              <w:t>.</w:t>
            </w:r>
          </w:p>
        </w:tc>
      </w:tr>
      <w:tr w:rsidR="005A01A8" w:rsidRPr="00A83CE0" w14:paraId="39EF5705" w14:textId="77777777" w:rsidTr="00EE371A">
        <w:trPr>
          <w:trHeight w:val="1336"/>
        </w:trPr>
        <w:tc>
          <w:tcPr>
            <w:tcW w:w="1236" w:type="dxa"/>
          </w:tcPr>
          <w:p w14:paraId="275983D8" w14:textId="0C8D8C7D" w:rsidR="005A01A8" w:rsidRPr="00A83CE0" w:rsidRDefault="005A01A8" w:rsidP="002A7651">
            <w:pPr>
              <w:pStyle w:val="TableParagraph"/>
              <w:ind w:right="237"/>
              <w:rPr>
                <w:sz w:val="12"/>
                <w:szCs w:val="12"/>
              </w:rPr>
            </w:pPr>
            <w:r w:rsidRPr="00A83CE0">
              <w:rPr>
                <w:color w:val="000000"/>
                <w:sz w:val="12"/>
                <w:szCs w:val="12"/>
              </w:rPr>
              <w:t>F</w:t>
            </w:r>
            <w:r w:rsidR="001C3FE3">
              <w:rPr>
                <w:color w:val="000000"/>
                <w:sz w:val="12"/>
                <w:szCs w:val="12"/>
              </w:rPr>
              <w:t>.A.B. usine</w:t>
            </w:r>
            <w:r w:rsidRPr="00A83CE0">
              <w:rPr>
                <w:color w:val="000000"/>
                <w:sz w:val="12"/>
                <w:szCs w:val="12"/>
              </w:rPr>
              <w:t>, fret payé d’avance</w:t>
            </w:r>
            <w:r w:rsidR="002A7651">
              <w:rPr>
                <w:color w:val="000000"/>
                <w:sz w:val="12"/>
                <w:szCs w:val="12"/>
              </w:rPr>
              <w:t xml:space="preserve"> Règle </w:t>
            </w:r>
            <w:r w:rsidR="008C48A7">
              <w:rPr>
                <w:color w:val="000000"/>
                <w:sz w:val="12"/>
                <w:szCs w:val="12"/>
              </w:rPr>
              <w:t xml:space="preserve">Jonction </w:t>
            </w:r>
            <w:r w:rsidR="002A7651">
              <w:rPr>
                <w:color w:val="000000"/>
                <w:sz w:val="12"/>
                <w:szCs w:val="12"/>
              </w:rPr>
              <w:t>11</w:t>
            </w:r>
            <w:r w:rsidRPr="00A83CE0">
              <w:rPr>
                <w:color w:val="000000"/>
                <w:sz w:val="12"/>
                <w:szCs w:val="12"/>
              </w:rPr>
              <w:t xml:space="preserve"> (s’applique uniquement aux ventes national</w:t>
            </w:r>
            <w:r w:rsidR="00133E5A">
              <w:rPr>
                <w:color w:val="000000"/>
                <w:sz w:val="12"/>
                <w:szCs w:val="12"/>
              </w:rPr>
              <w:t>es</w:t>
            </w:r>
            <w:r w:rsidRPr="00A83CE0">
              <w:rPr>
                <w:color w:val="000000"/>
                <w:sz w:val="12"/>
                <w:szCs w:val="12"/>
              </w:rPr>
              <w:t>)</w:t>
            </w:r>
          </w:p>
        </w:tc>
        <w:tc>
          <w:tcPr>
            <w:tcW w:w="1238" w:type="dxa"/>
          </w:tcPr>
          <w:p w14:paraId="3023C365" w14:textId="7551ADB5" w:rsidR="005A01A8" w:rsidRPr="00A83CE0" w:rsidRDefault="005A01A8" w:rsidP="00EE371A">
            <w:pPr>
              <w:pStyle w:val="TableParagraph"/>
              <w:ind w:left="59" w:right="29"/>
              <w:rPr>
                <w:sz w:val="12"/>
                <w:szCs w:val="12"/>
              </w:rPr>
            </w:pPr>
            <w:r w:rsidRPr="00A83CE0">
              <w:rPr>
                <w:color w:val="000000"/>
                <w:sz w:val="12"/>
                <w:szCs w:val="12"/>
              </w:rPr>
              <w:t xml:space="preserve">À la </w:t>
            </w:r>
            <w:r w:rsidR="00A15E8E">
              <w:rPr>
                <w:color w:val="000000"/>
                <w:sz w:val="12"/>
                <w:szCs w:val="12"/>
              </w:rPr>
              <w:t>réalisation</w:t>
            </w:r>
            <w:r w:rsidRPr="00A83CE0">
              <w:rPr>
                <w:color w:val="000000"/>
                <w:sz w:val="12"/>
                <w:szCs w:val="12"/>
              </w:rPr>
              <w:t xml:space="preserve"> du chargement d’un camion ou d’un wagon de chemin de fer à l</w:t>
            </w:r>
            <w:proofErr w:type="gramStart"/>
            <w:r w:rsidRPr="00A83CE0">
              <w:rPr>
                <w:color w:val="000000"/>
                <w:sz w:val="12"/>
                <w:szCs w:val="12"/>
              </w:rPr>
              <w:t>’«</w:t>
            </w:r>
            <w:proofErr w:type="gramEnd"/>
            <w:r w:rsidRPr="00A83CE0">
              <w:rPr>
                <w:color w:val="000000"/>
                <w:sz w:val="12"/>
                <w:szCs w:val="12"/>
              </w:rPr>
              <w:t xml:space="preserve"> usine » indiquée dans le </w:t>
            </w:r>
            <w:r w:rsidR="0079793D">
              <w:rPr>
                <w:color w:val="000000"/>
                <w:sz w:val="12"/>
                <w:szCs w:val="12"/>
              </w:rPr>
              <w:t xml:space="preserve">Contrat de vente </w:t>
            </w:r>
            <w:r w:rsidRPr="00A83CE0">
              <w:rPr>
                <w:color w:val="000000"/>
                <w:sz w:val="12"/>
                <w:szCs w:val="12"/>
              </w:rPr>
              <w:t>ou, le cas échéant,</w:t>
            </w:r>
            <w:r w:rsidR="00A15E8E">
              <w:rPr>
                <w:color w:val="000000"/>
                <w:sz w:val="12"/>
                <w:szCs w:val="12"/>
              </w:rPr>
              <w:t xml:space="preserve"> </w:t>
            </w:r>
            <w:r w:rsidRPr="00A83CE0">
              <w:rPr>
                <w:color w:val="000000"/>
                <w:sz w:val="12"/>
                <w:szCs w:val="12"/>
              </w:rPr>
              <w:t xml:space="preserve">l’installation de rechargement ou de refabrication à partir de laquelle les </w:t>
            </w:r>
            <w:r w:rsidR="0079793D">
              <w:rPr>
                <w:color w:val="000000"/>
                <w:sz w:val="12"/>
                <w:szCs w:val="12"/>
              </w:rPr>
              <w:t xml:space="preserve">Produits de bois d’œuvre </w:t>
            </w:r>
            <w:r w:rsidRPr="00A83CE0">
              <w:rPr>
                <w:color w:val="000000"/>
                <w:sz w:val="12"/>
                <w:szCs w:val="12"/>
              </w:rPr>
              <w:t>sont</w:t>
            </w:r>
          </w:p>
          <w:p w14:paraId="670BCFEF" w14:textId="07F954E9" w:rsidR="005A01A8" w:rsidRPr="00A83CE0" w:rsidRDefault="00EA2CFC" w:rsidP="00EE371A">
            <w:pPr>
              <w:pStyle w:val="TableParagraph"/>
              <w:spacing w:line="120" w:lineRule="exact"/>
              <w:ind w:left="59" w:right="563"/>
              <w:rPr>
                <w:sz w:val="12"/>
                <w:szCs w:val="12"/>
              </w:rPr>
            </w:pPr>
            <w:proofErr w:type="gramStart"/>
            <w:r>
              <w:rPr>
                <w:color w:val="000000"/>
                <w:spacing w:val="-1"/>
                <w:sz w:val="12"/>
                <w:szCs w:val="12"/>
              </w:rPr>
              <w:t>livrés</w:t>
            </w:r>
            <w:proofErr w:type="gramEnd"/>
            <w:r w:rsidR="005A01A8" w:rsidRPr="00A83CE0">
              <w:rPr>
                <w:color w:val="000000"/>
                <w:spacing w:val="-1"/>
                <w:sz w:val="12"/>
                <w:szCs w:val="12"/>
              </w:rPr>
              <w:t xml:space="preserve"> au </w:t>
            </w:r>
            <w:r w:rsidR="003F3FC3">
              <w:rPr>
                <w:color w:val="000000"/>
                <w:spacing w:val="-1"/>
                <w:sz w:val="12"/>
                <w:szCs w:val="12"/>
              </w:rPr>
              <w:t>Client</w:t>
            </w:r>
            <w:r w:rsidR="005A01A8" w:rsidRPr="00A83CE0">
              <w:rPr>
                <w:color w:val="000000"/>
                <w:spacing w:val="-1"/>
                <w:sz w:val="12"/>
                <w:szCs w:val="12"/>
              </w:rPr>
              <w:t>.</w:t>
            </w:r>
          </w:p>
        </w:tc>
        <w:tc>
          <w:tcPr>
            <w:tcW w:w="1238" w:type="dxa"/>
          </w:tcPr>
          <w:p w14:paraId="468D2FE7" w14:textId="50F2ECAD" w:rsidR="005A01A8" w:rsidRPr="00A83CE0" w:rsidRDefault="005A01A8" w:rsidP="00602286">
            <w:pPr>
              <w:pStyle w:val="TableParagraph"/>
              <w:ind w:right="44"/>
              <w:rPr>
                <w:sz w:val="12"/>
                <w:szCs w:val="12"/>
              </w:rPr>
            </w:pPr>
            <w:r w:rsidRPr="00A83CE0">
              <w:rPr>
                <w:color w:val="000000"/>
                <w:sz w:val="12"/>
                <w:szCs w:val="12"/>
              </w:rPr>
              <w:t xml:space="preserve">Interfor organise, et le </w:t>
            </w:r>
            <w:r w:rsidR="003F3FC3">
              <w:rPr>
                <w:color w:val="000000"/>
                <w:sz w:val="12"/>
                <w:szCs w:val="12"/>
              </w:rPr>
              <w:t>Prix</w:t>
            </w:r>
            <w:r w:rsidRPr="00A83CE0">
              <w:rPr>
                <w:color w:val="000000"/>
                <w:sz w:val="12"/>
                <w:szCs w:val="12"/>
              </w:rPr>
              <w:t xml:space="preserve"> comprend</w:t>
            </w:r>
            <w:r w:rsidR="00EA2CFC">
              <w:rPr>
                <w:color w:val="000000"/>
                <w:sz w:val="12"/>
                <w:szCs w:val="12"/>
              </w:rPr>
              <w:t xml:space="preserve"> </w:t>
            </w:r>
            <w:r w:rsidRPr="00A83CE0">
              <w:rPr>
                <w:color w:val="000000"/>
                <w:sz w:val="12"/>
                <w:szCs w:val="12"/>
              </w:rPr>
              <w:t xml:space="preserve">tous les </w:t>
            </w:r>
            <w:r w:rsidR="00EA2CFC">
              <w:rPr>
                <w:color w:val="000000"/>
                <w:sz w:val="12"/>
                <w:szCs w:val="12"/>
              </w:rPr>
              <w:t xml:space="preserve">frais de </w:t>
            </w:r>
            <w:r w:rsidRPr="00A83CE0">
              <w:rPr>
                <w:color w:val="000000"/>
                <w:sz w:val="12"/>
                <w:szCs w:val="12"/>
              </w:rPr>
              <w:t>courtage et le fre</w:t>
            </w:r>
            <w:r w:rsidR="002A7651">
              <w:rPr>
                <w:color w:val="000000"/>
                <w:sz w:val="12"/>
                <w:szCs w:val="12"/>
              </w:rPr>
              <w:t xml:space="preserve">t à la </w:t>
            </w:r>
            <w:r w:rsidR="008C48A7">
              <w:rPr>
                <w:color w:val="000000"/>
                <w:sz w:val="12"/>
                <w:szCs w:val="12"/>
              </w:rPr>
              <w:t xml:space="preserve">Règle </w:t>
            </w:r>
            <w:r w:rsidR="002A7651">
              <w:rPr>
                <w:color w:val="000000"/>
                <w:sz w:val="12"/>
                <w:szCs w:val="12"/>
              </w:rPr>
              <w:t>Jonction 11</w:t>
            </w:r>
            <w:r w:rsidRPr="00A83CE0">
              <w:rPr>
                <w:color w:val="000000"/>
                <w:sz w:val="12"/>
                <w:szCs w:val="12"/>
              </w:rPr>
              <w:t xml:space="preserve">. Le </w:t>
            </w:r>
            <w:r w:rsidR="003F3FC3">
              <w:rPr>
                <w:color w:val="000000"/>
                <w:sz w:val="12"/>
                <w:szCs w:val="12"/>
              </w:rPr>
              <w:t>Client</w:t>
            </w:r>
            <w:r w:rsidRPr="00A83CE0">
              <w:rPr>
                <w:color w:val="000000"/>
                <w:sz w:val="12"/>
                <w:szCs w:val="12"/>
              </w:rPr>
              <w:t xml:space="preserve"> organise et règle tous les frais de courtage </w:t>
            </w:r>
            <w:r w:rsidR="00AF620E">
              <w:rPr>
                <w:color w:val="000000"/>
                <w:sz w:val="12"/>
                <w:szCs w:val="12"/>
              </w:rPr>
              <w:t>et le fret</w:t>
            </w:r>
            <w:r w:rsidR="002A7651">
              <w:rPr>
                <w:color w:val="000000"/>
                <w:sz w:val="12"/>
                <w:szCs w:val="12"/>
              </w:rPr>
              <w:t xml:space="preserve"> de la</w:t>
            </w:r>
            <w:r w:rsidR="008C48A7">
              <w:rPr>
                <w:color w:val="000000"/>
                <w:sz w:val="12"/>
                <w:szCs w:val="12"/>
              </w:rPr>
              <w:t xml:space="preserve"> </w:t>
            </w:r>
            <w:r w:rsidR="002A7651">
              <w:rPr>
                <w:color w:val="000000"/>
                <w:sz w:val="12"/>
                <w:szCs w:val="12"/>
              </w:rPr>
              <w:t>Règle</w:t>
            </w:r>
            <w:r w:rsidR="008C48A7">
              <w:rPr>
                <w:color w:val="000000"/>
                <w:sz w:val="12"/>
                <w:szCs w:val="12"/>
              </w:rPr>
              <w:t xml:space="preserve"> Jonction</w:t>
            </w:r>
            <w:r w:rsidR="002A7651">
              <w:rPr>
                <w:color w:val="000000"/>
                <w:sz w:val="12"/>
                <w:szCs w:val="12"/>
              </w:rPr>
              <w:t xml:space="preserve"> 11 </w:t>
            </w:r>
            <w:r w:rsidRPr="00A83CE0">
              <w:rPr>
                <w:color w:val="000000"/>
                <w:sz w:val="12"/>
                <w:szCs w:val="12"/>
              </w:rPr>
              <w:t>à l</w:t>
            </w:r>
            <w:r w:rsidR="00602286">
              <w:rPr>
                <w:color w:val="000000"/>
                <w:sz w:val="12"/>
                <w:szCs w:val="12"/>
              </w:rPr>
              <w:t>’adresse</w:t>
            </w:r>
            <w:r w:rsidRPr="00A83CE0">
              <w:rPr>
                <w:color w:val="000000"/>
                <w:sz w:val="12"/>
                <w:szCs w:val="12"/>
              </w:rPr>
              <w:t xml:space="preserve"> « </w:t>
            </w:r>
            <w:r w:rsidR="00602286">
              <w:rPr>
                <w:color w:val="000000"/>
                <w:sz w:val="12"/>
                <w:szCs w:val="12"/>
              </w:rPr>
              <w:t>de livraison »</w:t>
            </w:r>
            <w:r w:rsidRPr="00A83CE0">
              <w:rPr>
                <w:color w:val="000000"/>
                <w:sz w:val="12"/>
                <w:szCs w:val="12"/>
              </w:rPr>
              <w:t xml:space="preserve"> du contrat de vente.</w:t>
            </w:r>
          </w:p>
        </w:tc>
        <w:tc>
          <w:tcPr>
            <w:tcW w:w="1238" w:type="dxa"/>
          </w:tcPr>
          <w:p w14:paraId="31739386" w14:textId="77777777" w:rsidR="005A01A8" w:rsidRPr="00A83CE0" w:rsidRDefault="005A01A8" w:rsidP="00EE371A">
            <w:pPr>
              <w:pStyle w:val="TableParagraph"/>
              <w:ind w:left="58"/>
              <w:rPr>
                <w:sz w:val="12"/>
                <w:szCs w:val="12"/>
              </w:rPr>
            </w:pPr>
            <w:r w:rsidRPr="00A83CE0">
              <w:rPr>
                <w:color w:val="000000"/>
                <w:sz w:val="12"/>
                <w:szCs w:val="12"/>
              </w:rPr>
              <w:t>Sans objet.</w:t>
            </w:r>
          </w:p>
        </w:tc>
      </w:tr>
      <w:tr w:rsidR="005A01A8" w:rsidRPr="00A83CE0" w14:paraId="51695531" w14:textId="77777777" w:rsidTr="00EE371A">
        <w:trPr>
          <w:trHeight w:val="729"/>
        </w:trPr>
        <w:tc>
          <w:tcPr>
            <w:tcW w:w="1236" w:type="dxa"/>
          </w:tcPr>
          <w:p w14:paraId="2DEA1E67" w14:textId="592BDDE5" w:rsidR="005A01A8" w:rsidRPr="00A83CE0" w:rsidRDefault="00DF6E82" w:rsidP="00EE371A">
            <w:pPr>
              <w:pStyle w:val="TableParagraph"/>
              <w:ind w:right="82"/>
              <w:rPr>
                <w:sz w:val="12"/>
                <w:szCs w:val="12"/>
              </w:rPr>
            </w:pPr>
            <w:r>
              <w:rPr>
                <w:color w:val="000000"/>
                <w:sz w:val="12"/>
                <w:szCs w:val="12"/>
              </w:rPr>
              <w:t>Droits</w:t>
            </w:r>
            <w:r w:rsidR="005A01A8" w:rsidRPr="00A83CE0">
              <w:rPr>
                <w:color w:val="000000"/>
                <w:sz w:val="12"/>
                <w:szCs w:val="12"/>
              </w:rPr>
              <w:t xml:space="preserve"> </w:t>
            </w:r>
            <w:r w:rsidR="00DF6E45">
              <w:rPr>
                <w:color w:val="000000"/>
                <w:sz w:val="12"/>
                <w:szCs w:val="12"/>
              </w:rPr>
              <w:t>R</w:t>
            </w:r>
            <w:r w:rsidR="00033E91">
              <w:rPr>
                <w:color w:val="000000"/>
                <w:sz w:val="12"/>
                <w:szCs w:val="12"/>
              </w:rPr>
              <w:t>DA</w:t>
            </w:r>
            <w:r w:rsidR="005A01A8" w:rsidRPr="00A83CE0">
              <w:rPr>
                <w:color w:val="000000"/>
                <w:sz w:val="12"/>
                <w:szCs w:val="12"/>
              </w:rPr>
              <w:t>, AD et CV</w:t>
            </w:r>
            <w:r w:rsidR="00033E91">
              <w:rPr>
                <w:color w:val="000000"/>
                <w:sz w:val="12"/>
                <w:szCs w:val="12"/>
              </w:rPr>
              <w:t xml:space="preserve"> inclus</w:t>
            </w:r>
          </w:p>
        </w:tc>
        <w:tc>
          <w:tcPr>
            <w:tcW w:w="1238" w:type="dxa"/>
          </w:tcPr>
          <w:p w14:paraId="099D291E" w14:textId="0AC78808" w:rsidR="005A01A8" w:rsidRPr="00A83CE0" w:rsidRDefault="005A01A8" w:rsidP="00EE371A">
            <w:pPr>
              <w:pStyle w:val="TableParagraph"/>
              <w:ind w:left="59" w:right="67"/>
              <w:rPr>
                <w:sz w:val="12"/>
                <w:szCs w:val="12"/>
              </w:rPr>
            </w:pPr>
            <w:r w:rsidRPr="00A83CE0">
              <w:rPr>
                <w:color w:val="000000"/>
                <w:sz w:val="12"/>
                <w:szCs w:val="12"/>
              </w:rPr>
              <w:t xml:space="preserve">Selon </w:t>
            </w:r>
            <w:r w:rsidR="00C71F21">
              <w:rPr>
                <w:color w:val="000000"/>
                <w:sz w:val="12"/>
                <w:szCs w:val="12"/>
              </w:rPr>
              <w:t xml:space="preserve">les </w:t>
            </w:r>
            <w:r w:rsidRPr="00A83CE0">
              <w:rPr>
                <w:color w:val="000000"/>
                <w:sz w:val="12"/>
                <w:szCs w:val="12"/>
              </w:rPr>
              <w:t>Incoterms</w:t>
            </w:r>
            <w:r w:rsidRPr="00A83CE0">
              <w:rPr>
                <w:color w:val="000000"/>
                <w:sz w:val="12"/>
                <w:szCs w:val="12"/>
                <w:vertAlign w:val="superscript"/>
              </w:rPr>
              <w:t>®</w:t>
            </w:r>
            <w:r w:rsidRPr="00A83CE0">
              <w:rPr>
                <w:color w:val="000000"/>
                <w:sz w:val="12"/>
                <w:szCs w:val="12"/>
              </w:rPr>
              <w:t xml:space="preserve"> 2020, le lieu de destination étant l’adresse </w:t>
            </w:r>
            <w:r w:rsidR="005C54DE">
              <w:rPr>
                <w:color w:val="000000"/>
                <w:sz w:val="12"/>
                <w:szCs w:val="12"/>
              </w:rPr>
              <w:t xml:space="preserve">« </w:t>
            </w:r>
            <w:r w:rsidRPr="00A83CE0">
              <w:rPr>
                <w:color w:val="000000"/>
                <w:sz w:val="12"/>
                <w:szCs w:val="12"/>
              </w:rPr>
              <w:t>de livraison</w:t>
            </w:r>
            <w:r w:rsidR="005C54DE">
              <w:rPr>
                <w:color w:val="000000"/>
                <w:sz w:val="12"/>
                <w:szCs w:val="12"/>
              </w:rPr>
              <w:t xml:space="preserve"> »</w:t>
            </w:r>
          </w:p>
          <w:p w14:paraId="6D3F1340" w14:textId="77777777" w:rsidR="005A01A8" w:rsidRPr="00A83CE0" w:rsidRDefault="005A01A8" w:rsidP="00EE371A">
            <w:pPr>
              <w:pStyle w:val="TableParagraph"/>
              <w:spacing w:line="120" w:lineRule="exact"/>
              <w:ind w:left="59" w:right="267"/>
              <w:rPr>
                <w:sz w:val="12"/>
                <w:szCs w:val="12"/>
              </w:rPr>
            </w:pPr>
            <w:proofErr w:type="gramStart"/>
            <w:r w:rsidRPr="00A83CE0">
              <w:rPr>
                <w:color w:val="000000"/>
                <w:sz w:val="12"/>
                <w:szCs w:val="12"/>
              </w:rPr>
              <w:t>dans</w:t>
            </w:r>
            <w:proofErr w:type="gramEnd"/>
            <w:r w:rsidRPr="00A83CE0">
              <w:rPr>
                <w:color w:val="000000"/>
                <w:sz w:val="12"/>
                <w:szCs w:val="12"/>
              </w:rPr>
              <w:t xml:space="preserve"> le </w:t>
            </w:r>
            <w:r w:rsidRPr="00A83CE0">
              <w:rPr>
                <w:color w:val="000000"/>
                <w:sz w:val="12"/>
                <w:szCs w:val="12"/>
              </w:rPr>
              <w:lastRenderedPageBreak/>
              <w:t>contrat de vente.</w:t>
            </w:r>
          </w:p>
        </w:tc>
        <w:tc>
          <w:tcPr>
            <w:tcW w:w="1238" w:type="dxa"/>
          </w:tcPr>
          <w:p w14:paraId="27D276A9" w14:textId="39431F70" w:rsidR="005A01A8" w:rsidRPr="00A83CE0" w:rsidRDefault="005A01A8" w:rsidP="00EE371A">
            <w:pPr>
              <w:pStyle w:val="TableParagraph"/>
              <w:ind w:right="226"/>
              <w:rPr>
                <w:sz w:val="12"/>
                <w:szCs w:val="12"/>
              </w:rPr>
            </w:pPr>
            <w:r w:rsidRPr="00A83CE0">
              <w:rPr>
                <w:color w:val="000000"/>
                <w:sz w:val="12"/>
                <w:szCs w:val="12"/>
              </w:rPr>
              <w:lastRenderedPageBreak/>
              <w:t xml:space="preserve">Selon </w:t>
            </w:r>
            <w:r w:rsidR="00C71F21">
              <w:rPr>
                <w:color w:val="000000"/>
                <w:sz w:val="12"/>
                <w:szCs w:val="12"/>
              </w:rPr>
              <w:t xml:space="preserve">les </w:t>
            </w:r>
            <w:r w:rsidRPr="00A83CE0">
              <w:rPr>
                <w:color w:val="000000"/>
                <w:sz w:val="12"/>
                <w:szCs w:val="12"/>
              </w:rPr>
              <w:t>Incoterms</w:t>
            </w:r>
            <w:r w:rsidRPr="00A83CE0">
              <w:rPr>
                <w:color w:val="000000"/>
                <w:sz w:val="12"/>
                <w:szCs w:val="12"/>
                <w:vertAlign w:val="superscript"/>
              </w:rPr>
              <w:t xml:space="preserve">® </w:t>
            </w:r>
            <w:r w:rsidRPr="00A83CE0">
              <w:rPr>
                <w:color w:val="000000"/>
                <w:sz w:val="12"/>
                <w:szCs w:val="12"/>
              </w:rPr>
              <w:t>2020.</w:t>
            </w:r>
          </w:p>
        </w:tc>
        <w:tc>
          <w:tcPr>
            <w:tcW w:w="1238" w:type="dxa"/>
          </w:tcPr>
          <w:p w14:paraId="501F0756" w14:textId="5E762848" w:rsidR="005A01A8" w:rsidRPr="00A83CE0" w:rsidRDefault="005A01A8" w:rsidP="00EE371A">
            <w:pPr>
              <w:pStyle w:val="TableParagraph"/>
              <w:ind w:left="58" w:right="72"/>
              <w:rPr>
                <w:sz w:val="12"/>
                <w:szCs w:val="12"/>
              </w:rPr>
            </w:pPr>
            <w:r w:rsidRPr="00A83CE0">
              <w:rPr>
                <w:color w:val="000000"/>
                <w:sz w:val="12"/>
                <w:szCs w:val="12"/>
              </w:rPr>
              <w:t xml:space="preserve">Selon </w:t>
            </w:r>
            <w:r w:rsidR="00C71F21">
              <w:rPr>
                <w:color w:val="000000"/>
                <w:sz w:val="12"/>
                <w:szCs w:val="12"/>
              </w:rPr>
              <w:t xml:space="preserve">les </w:t>
            </w:r>
            <w:r w:rsidRPr="00A83CE0">
              <w:rPr>
                <w:color w:val="000000"/>
                <w:sz w:val="12"/>
                <w:szCs w:val="12"/>
              </w:rPr>
              <w:t>Incoterms</w:t>
            </w:r>
            <w:r w:rsidRPr="00A83CE0">
              <w:rPr>
                <w:color w:val="000000"/>
                <w:sz w:val="12"/>
                <w:szCs w:val="12"/>
                <w:vertAlign w:val="superscript"/>
              </w:rPr>
              <w:t xml:space="preserve">® </w:t>
            </w:r>
            <w:r w:rsidRPr="00A83CE0">
              <w:rPr>
                <w:color w:val="000000"/>
                <w:sz w:val="12"/>
                <w:szCs w:val="12"/>
              </w:rPr>
              <w:t xml:space="preserve">2020. Le </w:t>
            </w:r>
            <w:r w:rsidR="003F3FC3">
              <w:rPr>
                <w:color w:val="000000"/>
                <w:sz w:val="12"/>
                <w:szCs w:val="12"/>
              </w:rPr>
              <w:t>Prix</w:t>
            </w:r>
            <w:r w:rsidRPr="00A83CE0">
              <w:rPr>
                <w:color w:val="000000"/>
                <w:sz w:val="12"/>
                <w:szCs w:val="12"/>
              </w:rPr>
              <w:t xml:space="preserve"> comprend tous droits à l’importation, droits </w:t>
            </w:r>
            <w:r w:rsidRPr="00A83CE0">
              <w:rPr>
                <w:color w:val="000000"/>
                <w:sz w:val="12"/>
                <w:szCs w:val="12"/>
              </w:rPr>
              <w:lastRenderedPageBreak/>
              <w:t>antidumping et droits compensateurs.</w:t>
            </w:r>
          </w:p>
        </w:tc>
      </w:tr>
      <w:tr w:rsidR="005A01A8" w:rsidRPr="00A83CE0" w14:paraId="7BC47D53" w14:textId="77777777" w:rsidTr="00EE371A">
        <w:trPr>
          <w:trHeight w:val="729"/>
        </w:trPr>
        <w:tc>
          <w:tcPr>
            <w:tcW w:w="1236" w:type="dxa"/>
          </w:tcPr>
          <w:p w14:paraId="50F628AB" w14:textId="6F51F09E" w:rsidR="005A01A8" w:rsidRPr="00A83CE0" w:rsidRDefault="005A01A8" w:rsidP="00EE371A">
            <w:pPr>
              <w:pStyle w:val="TableParagraph"/>
              <w:ind w:right="82"/>
              <w:rPr>
                <w:sz w:val="12"/>
                <w:szCs w:val="12"/>
              </w:rPr>
            </w:pPr>
            <w:r w:rsidRPr="00A83CE0">
              <w:rPr>
                <w:color w:val="000000"/>
                <w:sz w:val="12"/>
                <w:szCs w:val="12"/>
              </w:rPr>
              <w:lastRenderedPageBreak/>
              <w:t xml:space="preserve">Droits </w:t>
            </w:r>
            <w:r w:rsidR="00153C32">
              <w:rPr>
                <w:color w:val="000000"/>
                <w:sz w:val="12"/>
                <w:szCs w:val="12"/>
              </w:rPr>
              <w:t>RDA</w:t>
            </w:r>
            <w:r w:rsidRPr="00A83CE0">
              <w:rPr>
                <w:color w:val="000000"/>
                <w:sz w:val="12"/>
                <w:szCs w:val="12"/>
              </w:rPr>
              <w:t xml:space="preserve">, AD </w:t>
            </w:r>
            <w:r w:rsidR="00153C32">
              <w:rPr>
                <w:color w:val="000000"/>
                <w:sz w:val="12"/>
                <w:szCs w:val="12"/>
              </w:rPr>
              <w:t>et</w:t>
            </w:r>
            <w:r w:rsidRPr="00A83CE0">
              <w:rPr>
                <w:color w:val="000000"/>
                <w:sz w:val="12"/>
                <w:szCs w:val="12"/>
              </w:rPr>
              <w:t xml:space="preserve"> CV </w:t>
            </w:r>
            <w:r w:rsidR="000703AA">
              <w:rPr>
                <w:color w:val="000000"/>
                <w:sz w:val="12"/>
                <w:szCs w:val="12"/>
              </w:rPr>
              <w:t>inclus</w:t>
            </w:r>
            <w:r w:rsidRPr="00A83CE0">
              <w:rPr>
                <w:color w:val="000000"/>
                <w:sz w:val="12"/>
                <w:szCs w:val="12"/>
              </w:rPr>
              <w:t>, fret payé d’avance</w:t>
            </w:r>
            <w:r w:rsidR="002A7651">
              <w:rPr>
                <w:color w:val="000000"/>
                <w:sz w:val="12"/>
                <w:szCs w:val="12"/>
              </w:rPr>
              <w:t xml:space="preserve"> à la </w:t>
            </w:r>
            <w:r w:rsidR="00ED30D7">
              <w:rPr>
                <w:color w:val="000000"/>
                <w:sz w:val="12"/>
                <w:szCs w:val="12"/>
              </w:rPr>
              <w:t xml:space="preserve">Règle </w:t>
            </w:r>
            <w:r w:rsidR="002A7651">
              <w:rPr>
                <w:color w:val="000000"/>
                <w:sz w:val="12"/>
                <w:szCs w:val="12"/>
              </w:rPr>
              <w:t>Jonction</w:t>
            </w:r>
            <w:r w:rsidR="00ED30D7">
              <w:rPr>
                <w:color w:val="000000"/>
                <w:sz w:val="12"/>
                <w:szCs w:val="12"/>
              </w:rPr>
              <w:t xml:space="preserve"> </w:t>
            </w:r>
            <w:r w:rsidR="002A7651">
              <w:rPr>
                <w:color w:val="000000"/>
                <w:sz w:val="12"/>
                <w:szCs w:val="12"/>
              </w:rPr>
              <w:t>11.</w:t>
            </w:r>
          </w:p>
        </w:tc>
        <w:tc>
          <w:tcPr>
            <w:tcW w:w="1238" w:type="dxa"/>
          </w:tcPr>
          <w:p w14:paraId="0E83093B" w14:textId="2A50AB05" w:rsidR="005A01A8" w:rsidRPr="00A83CE0" w:rsidRDefault="005A01A8" w:rsidP="00EE371A">
            <w:pPr>
              <w:pStyle w:val="TableParagraph"/>
              <w:ind w:left="59" w:right="67"/>
              <w:rPr>
                <w:sz w:val="12"/>
                <w:szCs w:val="12"/>
              </w:rPr>
            </w:pPr>
            <w:r w:rsidRPr="00A83CE0">
              <w:rPr>
                <w:color w:val="000000"/>
                <w:sz w:val="12"/>
                <w:szCs w:val="12"/>
              </w:rPr>
              <w:t xml:space="preserve">Selon </w:t>
            </w:r>
            <w:r w:rsidR="008306B3">
              <w:rPr>
                <w:color w:val="000000"/>
                <w:sz w:val="12"/>
                <w:szCs w:val="12"/>
              </w:rPr>
              <w:t xml:space="preserve">les </w:t>
            </w:r>
            <w:r w:rsidRPr="00A83CE0">
              <w:rPr>
                <w:color w:val="000000"/>
                <w:sz w:val="12"/>
                <w:szCs w:val="12"/>
              </w:rPr>
              <w:t>Incoterms</w:t>
            </w:r>
            <w:r w:rsidRPr="00A83CE0">
              <w:rPr>
                <w:color w:val="000000"/>
                <w:sz w:val="12"/>
                <w:szCs w:val="12"/>
                <w:vertAlign w:val="superscript"/>
              </w:rPr>
              <w:t>®</w:t>
            </w:r>
            <w:r w:rsidRPr="00A83CE0">
              <w:rPr>
                <w:color w:val="000000"/>
                <w:sz w:val="12"/>
                <w:szCs w:val="12"/>
              </w:rPr>
              <w:t xml:space="preserve"> 2020, le lieu de destination étant l’adresse </w:t>
            </w:r>
            <w:r w:rsidR="008306B3">
              <w:rPr>
                <w:color w:val="000000"/>
                <w:sz w:val="12"/>
                <w:szCs w:val="12"/>
              </w:rPr>
              <w:t xml:space="preserve">« </w:t>
            </w:r>
            <w:r w:rsidRPr="00A83CE0">
              <w:rPr>
                <w:color w:val="000000"/>
                <w:sz w:val="12"/>
                <w:szCs w:val="12"/>
              </w:rPr>
              <w:t>de livraison</w:t>
            </w:r>
            <w:r w:rsidR="008306B3">
              <w:rPr>
                <w:color w:val="000000"/>
                <w:sz w:val="12"/>
                <w:szCs w:val="12"/>
              </w:rPr>
              <w:t xml:space="preserve"> »</w:t>
            </w:r>
          </w:p>
          <w:p w14:paraId="5405DF7E" w14:textId="77777777" w:rsidR="005A01A8" w:rsidRPr="00A83CE0" w:rsidRDefault="005A01A8" w:rsidP="00EE371A">
            <w:pPr>
              <w:pStyle w:val="TableParagraph"/>
              <w:spacing w:line="120" w:lineRule="exact"/>
              <w:ind w:left="59" w:right="267"/>
              <w:rPr>
                <w:sz w:val="12"/>
                <w:szCs w:val="12"/>
              </w:rPr>
            </w:pPr>
            <w:proofErr w:type="gramStart"/>
            <w:r w:rsidRPr="00A83CE0">
              <w:rPr>
                <w:color w:val="000000"/>
                <w:sz w:val="12"/>
                <w:szCs w:val="12"/>
              </w:rPr>
              <w:t>dans</w:t>
            </w:r>
            <w:proofErr w:type="gramEnd"/>
            <w:r w:rsidRPr="00A83CE0">
              <w:rPr>
                <w:color w:val="000000"/>
                <w:sz w:val="12"/>
                <w:szCs w:val="12"/>
              </w:rPr>
              <w:t xml:space="preserve"> le contrat de vente.</w:t>
            </w:r>
          </w:p>
        </w:tc>
        <w:tc>
          <w:tcPr>
            <w:tcW w:w="1238" w:type="dxa"/>
          </w:tcPr>
          <w:p w14:paraId="005BD46C" w14:textId="688108FF" w:rsidR="005A01A8" w:rsidRPr="00A83CE0" w:rsidRDefault="005A01A8" w:rsidP="00EE371A">
            <w:pPr>
              <w:pStyle w:val="TableParagraph"/>
              <w:ind w:right="226"/>
              <w:rPr>
                <w:sz w:val="12"/>
                <w:szCs w:val="12"/>
              </w:rPr>
            </w:pPr>
            <w:r w:rsidRPr="00A83CE0">
              <w:rPr>
                <w:color w:val="000000"/>
                <w:sz w:val="12"/>
                <w:szCs w:val="12"/>
              </w:rPr>
              <w:t>Selon</w:t>
            </w:r>
            <w:r w:rsidR="008306B3">
              <w:rPr>
                <w:color w:val="000000"/>
                <w:sz w:val="12"/>
                <w:szCs w:val="12"/>
              </w:rPr>
              <w:t xml:space="preserve"> les</w:t>
            </w:r>
            <w:r w:rsidRPr="00A83CE0">
              <w:rPr>
                <w:color w:val="000000"/>
                <w:sz w:val="12"/>
                <w:szCs w:val="12"/>
              </w:rPr>
              <w:t xml:space="preserve"> Incoterms</w:t>
            </w:r>
            <w:r w:rsidRPr="00A83CE0">
              <w:rPr>
                <w:color w:val="000000"/>
                <w:sz w:val="12"/>
                <w:szCs w:val="12"/>
                <w:vertAlign w:val="superscript"/>
              </w:rPr>
              <w:t>®</w:t>
            </w:r>
            <w:r w:rsidR="002C6748">
              <w:rPr>
                <w:color w:val="000000"/>
                <w:sz w:val="12"/>
                <w:szCs w:val="12"/>
                <w:vertAlign w:val="superscript"/>
              </w:rPr>
              <w:t xml:space="preserve"> </w:t>
            </w:r>
            <w:r w:rsidRPr="00A83CE0">
              <w:rPr>
                <w:color w:val="000000"/>
                <w:sz w:val="12"/>
                <w:szCs w:val="12"/>
              </w:rPr>
              <w:t>2020.</w:t>
            </w:r>
          </w:p>
        </w:tc>
        <w:tc>
          <w:tcPr>
            <w:tcW w:w="1238" w:type="dxa"/>
          </w:tcPr>
          <w:p w14:paraId="5DF0D912" w14:textId="360327E2" w:rsidR="005A01A8" w:rsidRPr="00A83CE0" w:rsidRDefault="005A01A8" w:rsidP="00EE371A">
            <w:pPr>
              <w:pStyle w:val="TableParagraph"/>
              <w:ind w:left="58" w:right="72"/>
              <w:rPr>
                <w:sz w:val="12"/>
                <w:szCs w:val="12"/>
              </w:rPr>
            </w:pPr>
            <w:r w:rsidRPr="00A83CE0">
              <w:rPr>
                <w:color w:val="000000"/>
                <w:sz w:val="12"/>
                <w:szCs w:val="12"/>
              </w:rPr>
              <w:t xml:space="preserve">Selon </w:t>
            </w:r>
            <w:r w:rsidR="008306B3">
              <w:rPr>
                <w:color w:val="000000"/>
                <w:sz w:val="12"/>
                <w:szCs w:val="12"/>
              </w:rPr>
              <w:t xml:space="preserve">les </w:t>
            </w:r>
            <w:r w:rsidRPr="00A83CE0">
              <w:rPr>
                <w:color w:val="000000"/>
                <w:sz w:val="12"/>
                <w:szCs w:val="12"/>
              </w:rPr>
              <w:t>Incoterms</w:t>
            </w:r>
            <w:r w:rsidRPr="00A83CE0">
              <w:rPr>
                <w:color w:val="000000"/>
                <w:sz w:val="12"/>
                <w:szCs w:val="12"/>
                <w:vertAlign w:val="superscript"/>
              </w:rPr>
              <w:t xml:space="preserve">® </w:t>
            </w:r>
            <w:r w:rsidRPr="00A83CE0">
              <w:rPr>
                <w:color w:val="000000"/>
                <w:sz w:val="12"/>
                <w:szCs w:val="12"/>
              </w:rPr>
              <w:t xml:space="preserve">2020. Le </w:t>
            </w:r>
            <w:r w:rsidR="003F3FC3">
              <w:rPr>
                <w:color w:val="000000"/>
                <w:sz w:val="12"/>
                <w:szCs w:val="12"/>
              </w:rPr>
              <w:t>Prix</w:t>
            </w:r>
            <w:r w:rsidRPr="00A83CE0">
              <w:rPr>
                <w:color w:val="000000"/>
                <w:sz w:val="12"/>
                <w:szCs w:val="12"/>
              </w:rPr>
              <w:t xml:space="preserve"> comprend tous droits à l’importation, droits antidumping et droits compensateurs.</w:t>
            </w:r>
          </w:p>
        </w:tc>
      </w:tr>
      <w:tr w:rsidR="005A01A8" w:rsidRPr="00A83CE0" w14:paraId="5D16399B" w14:textId="77777777" w:rsidTr="00EE371A">
        <w:trPr>
          <w:trHeight w:val="729"/>
        </w:trPr>
        <w:tc>
          <w:tcPr>
            <w:tcW w:w="1236" w:type="dxa"/>
          </w:tcPr>
          <w:p w14:paraId="3C08D60F" w14:textId="48B8ADDC" w:rsidR="005A01A8" w:rsidRPr="00A83CE0" w:rsidRDefault="008306B3" w:rsidP="008306B3">
            <w:pPr>
              <w:pStyle w:val="TableParagraph"/>
              <w:ind w:left="0"/>
              <w:rPr>
                <w:sz w:val="12"/>
                <w:szCs w:val="12"/>
              </w:rPr>
            </w:pPr>
            <w:r>
              <w:rPr>
                <w:color w:val="000000"/>
                <w:sz w:val="12"/>
                <w:szCs w:val="12"/>
              </w:rPr>
              <w:t>F.A.B.</w:t>
            </w:r>
            <w:r w:rsidR="006A2321">
              <w:rPr>
                <w:color w:val="000000"/>
                <w:sz w:val="12"/>
                <w:szCs w:val="12"/>
              </w:rPr>
              <w:t xml:space="preserve"> quai</w:t>
            </w:r>
          </w:p>
        </w:tc>
        <w:tc>
          <w:tcPr>
            <w:tcW w:w="1238" w:type="dxa"/>
          </w:tcPr>
          <w:p w14:paraId="3A08CF7F" w14:textId="20467A52" w:rsidR="005A01A8" w:rsidRPr="00A83CE0" w:rsidRDefault="005A01A8" w:rsidP="00EE371A">
            <w:pPr>
              <w:pStyle w:val="TableParagraph"/>
              <w:ind w:left="59" w:right="157"/>
              <w:rPr>
                <w:sz w:val="12"/>
                <w:szCs w:val="12"/>
              </w:rPr>
            </w:pPr>
            <w:r w:rsidRPr="00A83CE0">
              <w:rPr>
                <w:color w:val="000000"/>
                <w:sz w:val="12"/>
                <w:szCs w:val="12"/>
              </w:rPr>
              <w:t xml:space="preserve">Pour les ventes au Japon uniquement, à l’achèvement du chargement des </w:t>
            </w:r>
            <w:r w:rsidR="00CE2B9D">
              <w:rPr>
                <w:color w:val="000000"/>
                <w:sz w:val="12"/>
                <w:szCs w:val="12"/>
              </w:rPr>
              <w:t>bien</w:t>
            </w:r>
            <w:r w:rsidRPr="00A83CE0">
              <w:rPr>
                <w:color w:val="000000"/>
                <w:sz w:val="12"/>
                <w:szCs w:val="12"/>
              </w:rPr>
              <w:t xml:space="preserve">s sur camion </w:t>
            </w:r>
            <w:r w:rsidR="00CE2B9D">
              <w:rPr>
                <w:color w:val="000000"/>
                <w:sz w:val="12"/>
                <w:szCs w:val="12"/>
              </w:rPr>
              <w:t>au</w:t>
            </w:r>
            <w:r w:rsidRPr="00A83CE0">
              <w:rPr>
                <w:color w:val="000000"/>
                <w:sz w:val="12"/>
                <w:szCs w:val="12"/>
              </w:rPr>
              <w:t xml:space="preserve"> quai.</w:t>
            </w:r>
          </w:p>
        </w:tc>
        <w:tc>
          <w:tcPr>
            <w:tcW w:w="1238" w:type="dxa"/>
          </w:tcPr>
          <w:p w14:paraId="7F0D1100" w14:textId="671C6849" w:rsidR="005A01A8" w:rsidRPr="00A83CE0" w:rsidRDefault="005A01A8" w:rsidP="00EE371A">
            <w:pPr>
              <w:pStyle w:val="TableParagraph"/>
              <w:ind w:right="112"/>
              <w:rPr>
                <w:sz w:val="12"/>
                <w:szCs w:val="12"/>
              </w:rPr>
            </w:pPr>
            <w:r w:rsidRPr="00A83CE0">
              <w:rPr>
                <w:color w:val="000000"/>
                <w:sz w:val="12"/>
                <w:szCs w:val="12"/>
              </w:rPr>
              <w:t xml:space="preserve">Le </w:t>
            </w:r>
            <w:r w:rsidR="003F3FC3">
              <w:rPr>
                <w:color w:val="000000"/>
                <w:sz w:val="12"/>
                <w:szCs w:val="12"/>
              </w:rPr>
              <w:t>Client</w:t>
            </w:r>
            <w:r w:rsidRPr="00A83CE0">
              <w:rPr>
                <w:color w:val="000000"/>
                <w:sz w:val="12"/>
                <w:szCs w:val="12"/>
              </w:rPr>
              <w:t xml:space="preserve"> organise et règle tous les </w:t>
            </w:r>
            <w:r w:rsidR="00CE2B9D">
              <w:rPr>
                <w:color w:val="000000"/>
                <w:sz w:val="12"/>
                <w:szCs w:val="12"/>
              </w:rPr>
              <w:t xml:space="preserve">frais de </w:t>
            </w:r>
            <w:r w:rsidRPr="00A83CE0">
              <w:rPr>
                <w:color w:val="000000"/>
                <w:sz w:val="12"/>
                <w:szCs w:val="12"/>
              </w:rPr>
              <w:t>courtage, le fret et l</w:t>
            </w:r>
            <w:r w:rsidR="00F90859">
              <w:rPr>
                <w:color w:val="000000"/>
                <w:sz w:val="12"/>
                <w:szCs w:val="12"/>
              </w:rPr>
              <w:t>a couverture d</w:t>
            </w:r>
            <w:r w:rsidRPr="00A83CE0">
              <w:rPr>
                <w:color w:val="000000"/>
                <w:sz w:val="12"/>
                <w:szCs w:val="12"/>
              </w:rPr>
              <w:t>’assurance</w:t>
            </w:r>
          </w:p>
          <w:p w14:paraId="33523359" w14:textId="20BCFB3A" w:rsidR="005A01A8" w:rsidRPr="00A83CE0" w:rsidRDefault="005A01A8" w:rsidP="00EE371A">
            <w:pPr>
              <w:pStyle w:val="TableParagraph"/>
              <w:spacing w:line="120" w:lineRule="exact"/>
              <w:ind w:right="144"/>
              <w:rPr>
                <w:sz w:val="12"/>
                <w:szCs w:val="12"/>
              </w:rPr>
            </w:pPr>
            <w:proofErr w:type="gramStart"/>
            <w:r w:rsidRPr="00A83CE0">
              <w:rPr>
                <w:color w:val="000000"/>
                <w:sz w:val="12"/>
                <w:szCs w:val="12"/>
              </w:rPr>
              <w:t>du</w:t>
            </w:r>
            <w:proofErr w:type="gramEnd"/>
            <w:r w:rsidRPr="00A83CE0">
              <w:rPr>
                <w:color w:val="000000"/>
                <w:sz w:val="12"/>
                <w:szCs w:val="12"/>
              </w:rPr>
              <w:t xml:space="preserve"> quai </w:t>
            </w:r>
            <w:r w:rsidR="00F90859">
              <w:rPr>
                <w:color w:val="000000"/>
                <w:sz w:val="12"/>
                <w:szCs w:val="12"/>
              </w:rPr>
              <w:t>jusqu’à la</w:t>
            </w:r>
            <w:r w:rsidR="002674E5">
              <w:rPr>
                <w:color w:val="000000"/>
                <w:sz w:val="12"/>
                <w:szCs w:val="12"/>
              </w:rPr>
              <w:t xml:space="preserve"> D</w:t>
            </w:r>
            <w:r w:rsidRPr="00A83CE0">
              <w:rPr>
                <w:color w:val="000000"/>
                <w:sz w:val="12"/>
                <w:szCs w:val="12"/>
              </w:rPr>
              <w:t>estination finale.</w:t>
            </w:r>
          </w:p>
        </w:tc>
        <w:tc>
          <w:tcPr>
            <w:tcW w:w="1238" w:type="dxa"/>
          </w:tcPr>
          <w:p w14:paraId="7388AB08" w14:textId="0B21DB85" w:rsidR="005A01A8" w:rsidRPr="00A83CE0" w:rsidRDefault="005A01A8" w:rsidP="00EE371A">
            <w:pPr>
              <w:pStyle w:val="TableParagraph"/>
              <w:ind w:left="58" w:right="109"/>
              <w:jc w:val="both"/>
              <w:rPr>
                <w:sz w:val="12"/>
                <w:szCs w:val="12"/>
              </w:rPr>
            </w:pPr>
            <w:r w:rsidRPr="00A83CE0">
              <w:rPr>
                <w:color w:val="000000"/>
                <w:sz w:val="12"/>
                <w:szCs w:val="12"/>
              </w:rPr>
              <w:t xml:space="preserve">Sans objet </w:t>
            </w:r>
            <w:r w:rsidR="00F90859">
              <w:rPr>
                <w:color w:val="000000"/>
                <w:sz w:val="12"/>
                <w:szCs w:val="12"/>
              </w:rPr>
              <w:t>–</w:t>
            </w:r>
            <w:r w:rsidRPr="00A83CE0">
              <w:rPr>
                <w:color w:val="000000"/>
                <w:sz w:val="12"/>
                <w:szCs w:val="12"/>
              </w:rPr>
              <w:t xml:space="preserve"> F</w:t>
            </w:r>
            <w:r w:rsidR="00F90859">
              <w:rPr>
                <w:color w:val="000000"/>
                <w:sz w:val="12"/>
                <w:szCs w:val="12"/>
              </w:rPr>
              <w:t>.A.B.</w:t>
            </w:r>
            <w:r w:rsidR="007D10E0">
              <w:rPr>
                <w:color w:val="000000"/>
                <w:sz w:val="12"/>
                <w:szCs w:val="12"/>
              </w:rPr>
              <w:t xml:space="preserve"> quai</w:t>
            </w:r>
            <w:r w:rsidRPr="00A83CE0">
              <w:rPr>
                <w:color w:val="000000"/>
                <w:sz w:val="12"/>
                <w:szCs w:val="12"/>
              </w:rPr>
              <w:t xml:space="preserve"> s’applique uniquement aux ventes au Japon.</w:t>
            </w:r>
          </w:p>
        </w:tc>
      </w:tr>
      <w:tr w:rsidR="005A01A8" w:rsidRPr="00A83CE0" w14:paraId="1F6E8025" w14:textId="77777777" w:rsidTr="00EE371A">
        <w:trPr>
          <w:trHeight w:val="486"/>
        </w:trPr>
        <w:tc>
          <w:tcPr>
            <w:tcW w:w="1236" w:type="dxa"/>
          </w:tcPr>
          <w:p w14:paraId="38ACD822" w14:textId="424DA426" w:rsidR="005A01A8" w:rsidRPr="00A83CE0" w:rsidRDefault="005A01A8" w:rsidP="00EE371A">
            <w:pPr>
              <w:pStyle w:val="TableParagraph"/>
              <w:rPr>
                <w:sz w:val="12"/>
                <w:szCs w:val="12"/>
              </w:rPr>
            </w:pPr>
            <w:r w:rsidRPr="00A83CE0">
              <w:rPr>
                <w:color w:val="000000"/>
                <w:sz w:val="12"/>
                <w:szCs w:val="12"/>
              </w:rPr>
              <w:t>C</w:t>
            </w:r>
            <w:r w:rsidR="00961B21">
              <w:rPr>
                <w:color w:val="000000"/>
                <w:sz w:val="12"/>
                <w:szCs w:val="12"/>
              </w:rPr>
              <w:t>A</w:t>
            </w:r>
            <w:r w:rsidRPr="00A83CE0">
              <w:rPr>
                <w:color w:val="000000"/>
                <w:sz w:val="12"/>
                <w:szCs w:val="12"/>
              </w:rPr>
              <w:t xml:space="preserve">F </w:t>
            </w:r>
            <w:proofErr w:type="gramStart"/>
            <w:r w:rsidRPr="00A83CE0">
              <w:rPr>
                <w:color w:val="000000"/>
                <w:sz w:val="12"/>
                <w:szCs w:val="12"/>
              </w:rPr>
              <w:t>ou</w:t>
            </w:r>
            <w:proofErr w:type="gramEnd"/>
          </w:p>
          <w:p w14:paraId="59EC6E9C" w14:textId="6C465FDE" w:rsidR="005A01A8" w:rsidRPr="00A83CE0" w:rsidRDefault="00961B21" w:rsidP="00EE371A">
            <w:pPr>
              <w:pStyle w:val="TableParagraph"/>
              <w:spacing w:before="1"/>
              <w:ind w:right="249"/>
              <w:rPr>
                <w:sz w:val="12"/>
                <w:szCs w:val="12"/>
              </w:rPr>
            </w:pPr>
            <w:proofErr w:type="gramStart"/>
            <w:r>
              <w:rPr>
                <w:color w:val="000000"/>
                <w:sz w:val="12"/>
                <w:szCs w:val="12"/>
              </w:rPr>
              <w:t>c</w:t>
            </w:r>
            <w:r w:rsidR="005A01A8" w:rsidRPr="00A83CE0">
              <w:rPr>
                <w:color w:val="000000"/>
                <w:sz w:val="12"/>
                <w:szCs w:val="12"/>
              </w:rPr>
              <w:t>oût</w:t>
            </w:r>
            <w:proofErr w:type="gramEnd"/>
            <w:r w:rsidR="005A01A8" w:rsidRPr="00A83CE0">
              <w:rPr>
                <w:color w:val="000000"/>
                <w:sz w:val="12"/>
                <w:szCs w:val="12"/>
              </w:rPr>
              <w:t>, assurance et fret</w:t>
            </w:r>
          </w:p>
        </w:tc>
        <w:tc>
          <w:tcPr>
            <w:tcW w:w="1238" w:type="dxa"/>
          </w:tcPr>
          <w:p w14:paraId="5E5C43D7" w14:textId="2FBCCDE8" w:rsidR="005A01A8" w:rsidRPr="00A83CE0" w:rsidRDefault="005A01A8" w:rsidP="00EE371A">
            <w:pPr>
              <w:pStyle w:val="TableParagraph"/>
              <w:ind w:left="59" w:right="224"/>
              <w:rPr>
                <w:sz w:val="12"/>
                <w:szCs w:val="12"/>
              </w:rPr>
            </w:pPr>
            <w:r w:rsidRPr="00A83CE0">
              <w:rPr>
                <w:color w:val="000000"/>
                <w:sz w:val="12"/>
                <w:szCs w:val="12"/>
              </w:rPr>
              <w:t>Selon</w:t>
            </w:r>
            <w:r w:rsidR="00961B21">
              <w:rPr>
                <w:color w:val="000000"/>
                <w:sz w:val="12"/>
                <w:szCs w:val="12"/>
              </w:rPr>
              <w:t xml:space="preserve"> les</w:t>
            </w:r>
            <w:r w:rsidRPr="00A83CE0">
              <w:rPr>
                <w:color w:val="000000"/>
                <w:sz w:val="12"/>
                <w:szCs w:val="12"/>
              </w:rPr>
              <w:t xml:space="preserve"> Incoterms</w:t>
            </w:r>
            <w:r w:rsidRPr="00A83CE0">
              <w:rPr>
                <w:color w:val="000000"/>
                <w:sz w:val="12"/>
                <w:szCs w:val="12"/>
                <w:vertAlign w:val="superscript"/>
              </w:rPr>
              <w:t xml:space="preserve">® </w:t>
            </w:r>
            <w:r w:rsidRPr="00A83CE0">
              <w:rPr>
                <w:color w:val="000000"/>
                <w:sz w:val="12"/>
                <w:szCs w:val="12"/>
              </w:rPr>
              <w:t>2020.</w:t>
            </w:r>
          </w:p>
        </w:tc>
        <w:tc>
          <w:tcPr>
            <w:tcW w:w="1238" w:type="dxa"/>
          </w:tcPr>
          <w:p w14:paraId="14A381E6" w14:textId="6517DA54" w:rsidR="005A01A8" w:rsidRPr="00A83CE0" w:rsidRDefault="005A01A8" w:rsidP="00EE371A">
            <w:pPr>
              <w:pStyle w:val="TableParagraph"/>
              <w:ind w:right="112"/>
              <w:rPr>
                <w:sz w:val="12"/>
                <w:szCs w:val="12"/>
              </w:rPr>
            </w:pPr>
            <w:r w:rsidRPr="00A83CE0">
              <w:rPr>
                <w:color w:val="000000"/>
                <w:sz w:val="12"/>
                <w:szCs w:val="12"/>
              </w:rPr>
              <w:t xml:space="preserve">Selon </w:t>
            </w:r>
            <w:r w:rsidR="00961B21">
              <w:rPr>
                <w:color w:val="000000"/>
                <w:sz w:val="12"/>
                <w:szCs w:val="12"/>
              </w:rPr>
              <w:t xml:space="preserve">les </w:t>
            </w:r>
            <w:r w:rsidRPr="00A83CE0">
              <w:rPr>
                <w:color w:val="000000"/>
                <w:sz w:val="12"/>
                <w:szCs w:val="12"/>
              </w:rPr>
              <w:t>Incoterms® 2020, transfert de</w:t>
            </w:r>
            <w:r w:rsidR="00961B21">
              <w:rPr>
                <w:color w:val="000000"/>
                <w:sz w:val="12"/>
                <w:szCs w:val="12"/>
              </w:rPr>
              <w:t>s</w:t>
            </w:r>
            <w:r w:rsidRPr="00A83CE0">
              <w:rPr>
                <w:color w:val="000000"/>
                <w:sz w:val="12"/>
                <w:szCs w:val="12"/>
              </w:rPr>
              <w:t xml:space="preserve"> coûts</w:t>
            </w:r>
          </w:p>
          <w:p w14:paraId="5FBB1285" w14:textId="1A62E69D" w:rsidR="005A01A8" w:rsidRPr="00A83CE0" w:rsidRDefault="005A01A8" w:rsidP="00EE371A">
            <w:pPr>
              <w:pStyle w:val="TableParagraph"/>
              <w:spacing w:line="120" w:lineRule="exact"/>
              <w:ind w:right="48"/>
              <w:rPr>
                <w:sz w:val="12"/>
                <w:szCs w:val="12"/>
              </w:rPr>
            </w:pPr>
            <w:proofErr w:type="gramStart"/>
            <w:r w:rsidRPr="00A83CE0">
              <w:rPr>
                <w:color w:val="000000"/>
                <w:sz w:val="12"/>
                <w:szCs w:val="12"/>
              </w:rPr>
              <w:t>à</w:t>
            </w:r>
            <w:proofErr w:type="gramEnd"/>
            <w:r w:rsidRPr="00A83CE0">
              <w:rPr>
                <w:color w:val="000000"/>
                <w:sz w:val="12"/>
                <w:szCs w:val="12"/>
              </w:rPr>
              <w:t xml:space="preserve"> l’arrivée du navire au </w:t>
            </w:r>
            <w:r w:rsidR="00E83033">
              <w:rPr>
                <w:color w:val="000000"/>
                <w:sz w:val="12"/>
                <w:szCs w:val="12"/>
              </w:rPr>
              <w:t>Port de Destination</w:t>
            </w:r>
            <w:r w:rsidRPr="00A83CE0">
              <w:rPr>
                <w:color w:val="000000"/>
                <w:sz w:val="12"/>
                <w:szCs w:val="12"/>
              </w:rPr>
              <w:t>.</w:t>
            </w:r>
          </w:p>
        </w:tc>
        <w:tc>
          <w:tcPr>
            <w:tcW w:w="1238" w:type="dxa"/>
          </w:tcPr>
          <w:p w14:paraId="26C25A79" w14:textId="03C782F5" w:rsidR="005A01A8" w:rsidRPr="00A83CE0" w:rsidRDefault="005A01A8" w:rsidP="00EE371A">
            <w:pPr>
              <w:pStyle w:val="TableParagraph"/>
              <w:ind w:left="58" w:right="225"/>
              <w:rPr>
                <w:sz w:val="12"/>
                <w:szCs w:val="12"/>
              </w:rPr>
            </w:pPr>
            <w:r w:rsidRPr="00A83CE0">
              <w:rPr>
                <w:color w:val="000000"/>
                <w:sz w:val="12"/>
                <w:szCs w:val="12"/>
              </w:rPr>
              <w:t xml:space="preserve">Selon </w:t>
            </w:r>
            <w:r w:rsidR="009863A0">
              <w:rPr>
                <w:color w:val="000000"/>
                <w:sz w:val="12"/>
                <w:szCs w:val="12"/>
              </w:rPr>
              <w:t xml:space="preserve">les </w:t>
            </w:r>
            <w:r w:rsidRPr="00A83CE0">
              <w:rPr>
                <w:color w:val="000000"/>
                <w:sz w:val="12"/>
                <w:szCs w:val="12"/>
              </w:rPr>
              <w:t>Incoterms</w:t>
            </w:r>
            <w:r w:rsidRPr="00A83CE0">
              <w:rPr>
                <w:color w:val="000000"/>
                <w:sz w:val="12"/>
                <w:szCs w:val="12"/>
                <w:vertAlign w:val="superscript"/>
              </w:rPr>
              <w:t>®</w:t>
            </w:r>
            <w:r w:rsidRPr="00A83CE0">
              <w:rPr>
                <w:color w:val="000000"/>
                <w:sz w:val="12"/>
                <w:szCs w:val="12"/>
              </w:rPr>
              <w:t xml:space="preserve"> 2020, </w:t>
            </w:r>
            <w:r w:rsidR="009863A0">
              <w:rPr>
                <w:color w:val="000000"/>
                <w:sz w:val="12"/>
                <w:szCs w:val="12"/>
              </w:rPr>
              <w:t xml:space="preserve">le </w:t>
            </w:r>
            <w:r w:rsidR="003F3FC3">
              <w:rPr>
                <w:color w:val="000000"/>
                <w:sz w:val="12"/>
                <w:szCs w:val="12"/>
              </w:rPr>
              <w:t>Client</w:t>
            </w:r>
          </w:p>
          <w:p w14:paraId="0915ABDA" w14:textId="4051A5A9" w:rsidR="005A01A8" w:rsidRPr="00A83CE0" w:rsidRDefault="00F66CCE" w:rsidP="00EE371A">
            <w:pPr>
              <w:pStyle w:val="TableParagraph"/>
              <w:spacing w:line="120" w:lineRule="exact"/>
              <w:ind w:left="58" w:right="349"/>
              <w:rPr>
                <w:sz w:val="12"/>
                <w:szCs w:val="12"/>
              </w:rPr>
            </w:pPr>
            <w:proofErr w:type="gramStart"/>
            <w:r>
              <w:rPr>
                <w:color w:val="000000"/>
                <w:sz w:val="12"/>
                <w:szCs w:val="12"/>
              </w:rPr>
              <w:t>dédouane</w:t>
            </w:r>
            <w:proofErr w:type="gramEnd"/>
            <w:r w:rsidR="005A01A8" w:rsidRPr="00A83CE0">
              <w:rPr>
                <w:color w:val="000000"/>
                <w:sz w:val="12"/>
                <w:szCs w:val="12"/>
              </w:rPr>
              <w:t xml:space="preserve"> les </w:t>
            </w:r>
            <w:r>
              <w:rPr>
                <w:color w:val="000000"/>
                <w:sz w:val="12"/>
                <w:szCs w:val="12"/>
              </w:rPr>
              <w:t>bien</w:t>
            </w:r>
            <w:r w:rsidR="005A01A8" w:rsidRPr="00A83CE0">
              <w:rPr>
                <w:color w:val="000000"/>
                <w:sz w:val="12"/>
                <w:szCs w:val="12"/>
              </w:rPr>
              <w:t xml:space="preserve">s </w:t>
            </w:r>
            <w:r w:rsidR="00CD46A6">
              <w:rPr>
                <w:color w:val="000000"/>
                <w:sz w:val="12"/>
                <w:szCs w:val="12"/>
              </w:rPr>
              <w:t>pour</w:t>
            </w:r>
            <w:r w:rsidR="005A01A8" w:rsidRPr="00A83CE0">
              <w:rPr>
                <w:color w:val="000000"/>
                <w:sz w:val="12"/>
                <w:szCs w:val="12"/>
              </w:rPr>
              <w:t xml:space="preserve"> l’importation.</w:t>
            </w:r>
          </w:p>
        </w:tc>
      </w:tr>
      <w:tr w:rsidR="005A01A8" w:rsidRPr="00A83CE0" w14:paraId="265BD9EC" w14:textId="77777777" w:rsidTr="00EE371A">
        <w:trPr>
          <w:trHeight w:val="851"/>
        </w:trPr>
        <w:tc>
          <w:tcPr>
            <w:tcW w:w="1236" w:type="dxa"/>
          </w:tcPr>
          <w:p w14:paraId="6D36DCE3" w14:textId="1D2F6983" w:rsidR="005A01A8" w:rsidRPr="00A83CE0" w:rsidRDefault="005A01A8" w:rsidP="00EE371A">
            <w:pPr>
              <w:pStyle w:val="TableParagraph"/>
              <w:rPr>
                <w:sz w:val="12"/>
                <w:szCs w:val="12"/>
              </w:rPr>
            </w:pPr>
            <w:r w:rsidRPr="00A83CE0">
              <w:rPr>
                <w:color w:val="000000"/>
                <w:sz w:val="12"/>
                <w:szCs w:val="12"/>
              </w:rPr>
              <w:t>P</w:t>
            </w:r>
            <w:r w:rsidR="002668F4">
              <w:rPr>
                <w:color w:val="000000"/>
                <w:sz w:val="12"/>
                <w:szCs w:val="12"/>
              </w:rPr>
              <w:t>A</w:t>
            </w:r>
            <w:r w:rsidRPr="00A83CE0">
              <w:rPr>
                <w:color w:val="000000"/>
                <w:sz w:val="12"/>
                <w:szCs w:val="12"/>
              </w:rPr>
              <w:t xml:space="preserve">C </w:t>
            </w:r>
            <w:proofErr w:type="gramStart"/>
            <w:r w:rsidRPr="00A83CE0">
              <w:rPr>
                <w:color w:val="000000"/>
                <w:sz w:val="12"/>
                <w:szCs w:val="12"/>
              </w:rPr>
              <w:t>ou</w:t>
            </w:r>
            <w:proofErr w:type="gramEnd"/>
          </w:p>
          <w:p w14:paraId="6CC4DB4F" w14:textId="7642DCD3" w:rsidR="005A01A8" w:rsidRPr="00A83CE0" w:rsidRDefault="00B43361" w:rsidP="00EE371A">
            <w:pPr>
              <w:pStyle w:val="TableParagraph"/>
              <w:spacing w:before="1"/>
              <w:ind w:right="82"/>
              <w:rPr>
                <w:sz w:val="12"/>
                <w:szCs w:val="12"/>
              </w:rPr>
            </w:pPr>
            <w:proofErr w:type="gramStart"/>
            <w:r>
              <w:rPr>
                <w:color w:val="000000"/>
                <w:sz w:val="12"/>
                <w:szCs w:val="12"/>
              </w:rPr>
              <w:t>t</w:t>
            </w:r>
            <w:r w:rsidR="005A01A8" w:rsidRPr="00A83CE0">
              <w:rPr>
                <w:color w:val="000000"/>
                <w:sz w:val="12"/>
                <w:szCs w:val="12"/>
              </w:rPr>
              <w:t>ransport</w:t>
            </w:r>
            <w:proofErr w:type="gramEnd"/>
            <w:r w:rsidR="005A01A8" w:rsidRPr="00A83CE0">
              <w:rPr>
                <w:color w:val="000000"/>
                <w:sz w:val="12"/>
                <w:szCs w:val="12"/>
              </w:rPr>
              <w:t xml:space="preserve"> </w:t>
            </w:r>
            <w:r>
              <w:rPr>
                <w:color w:val="000000"/>
                <w:sz w:val="12"/>
                <w:szCs w:val="12"/>
              </w:rPr>
              <w:t>e</w:t>
            </w:r>
            <w:r w:rsidR="005A01A8" w:rsidRPr="00A83CE0">
              <w:rPr>
                <w:color w:val="000000"/>
                <w:sz w:val="12"/>
                <w:szCs w:val="12"/>
              </w:rPr>
              <w:t xml:space="preserve">t </w:t>
            </w:r>
            <w:r>
              <w:rPr>
                <w:color w:val="000000"/>
                <w:sz w:val="12"/>
                <w:szCs w:val="12"/>
              </w:rPr>
              <w:t>a</w:t>
            </w:r>
            <w:r w:rsidR="005A01A8" w:rsidRPr="00A83CE0">
              <w:rPr>
                <w:color w:val="000000"/>
                <w:sz w:val="12"/>
                <w:szCs w:val="12"/>
              </w:rPr>
              <w:t xml:space="preserve">ssurance </w:t>
            </w:r>
            <w:r>
              <w:rPr>
                <w:color w:val="000000"/>
                <w:sz w:val="12"/>
                <w:szCs w:val="12"/>
              </w:rPr>
              <w:t>pay</w:t>
            </w:r>
            <w:r w:rsidR="005A01A8" w:rsidRPr="00A83CE0">
              <w:rPr>
                <w:color w:val="000000"/>
                <w:sz w:val="12"/>
                <w:szCs w:val="12"/>
              </w:rPr>
              <w:t>és</w:t>
            </w:r>
          </w:p>
        </w:tc>
        <w:tc>
          <w:tcPr>
            <w:tcW w:w="1238" w:type="dxa"/>
          </w:tcPr>
          <w:p w14:paraId="445A9F1D" w14:textId="7C38B844" w:rsidR="005A01A8" w:rsidRPr="00BC5D1B" w:rsidRDefault="00CD46A6" w:rsidP="00BC5D1B">
            <w:pPr>
              <w:pStyle w:val="TableParagraph"/>
              <w:ind w:left="59" w:right="80"/>
              <w:rPr>
                <w:color w:val="000000"/>
                <w:sz w:val="12"/>
                <w:szCs w:val="12"/>
              </w:rPr>
            </w:pPr>
            <w:r>
              <w:rPr>
                <w:color w:val="000000"/>
                <w:sz w:val="12"/>
                <w:szCs w:val="12"/>
              </w:rPr>
              <w:t>Selon les</w:t>
            </w:r>
            <w:r w:rsidR="005A01A8" w:rsidRPr="00A83CE0">
              <w:rPr>
                <w:color w:val="000000"/>
                <w:sz w:val="12"/>
                <w:szCs w:val="12"/>
              </w:rPr>
              <w:t xml:space="preserve"> Incoterms</w:t>
            </w:r>
            <w:r w:rsidR="005A01A8" w:rsidRPr="00A83CE0">
              <w:rPr>
                <w:color w:val="000000"/>
                <w:sz w:val="12"/>
                <w:szCs w:val="12"/>
                <w:vertAlign w:val="superscript"/>
              </w:rPr>
              <w:t>®</w:t>
            </w:r>
            <w:r w:rsidR="005A01A8" w:rsidRPr="00A83CE0">
              <w:rPr>
                <w:color w:val="000000"/>
                <w:sz w:val="12"/>
                <w:szCs w:val="12"/>
              </w:rPr>
              <w:t xml:space="preserve"> 2020, transfert des risques et d</w:t>
            </w:r>
            <w:r w:rsidR="00B60A6B">
              <w:rPr>
                <w:color w:val="000000"/>
                <w:sz w:val="12"/>
                <w:szCs w:val="12"/>
              </w:rPr>
              <w:t>u</w:t>
            </w:r>
            <w:r w:rsidR="005A01A8" w:rsidRPr="00A83CE0">
              <w:rPr>
                <w:color w:val="000000"/>
                <w:sz w:val="12"/>
                <w:szCs w:val="12"/>
              </w:rPr>
              <w:t xml:space="preserve"> titre à l’arrivée des </w:t>
            </w:r>
            <w:r w:rsidR="00B60A6B">
              <w:rPr>
                <w:color w:val="000000"/>
                <w:sz w:val="12"/>
                <w:szCs w:val="12"/>
              </w:rPr>
              <w:t>bien</w:t>
            </w:r>
            <w:r w:rsidR="005A01A8" w:rsidRPr="00A83CE0">
              <w:rPr>
                <w:color w:val="000000"/>
                <w:sz w:val="12"/>
                <w:szCs w:val="12"/>
              </w:rPr>
              <w:t>s à la gare ferroviaire, avant le chargement des</w:t>
            </w:r>
            <w:r w:rsidR="00B60A6B">
              <w:rPr>
                <w:color w:val="000000"/>
                <w:sz w:val="12"/>
                <w:szCs w:val="12"/>
              </w:rPr>
              <w:t xml:space="preserve"> bien</w:t>
            </w:r>
            <w:r w:rsidR="005A01A8" w:rsidRPr="00A83CE0">
              <w:rPr>
                <w:color w:val="000000"/>
                <w:sz w:val="12"/>
                <w:szCs w:val="12"/>
              </w:rPr>
              <w:t>s au port</w:t>
            </w:r>
            <w:r w:rsidR="00BC5D1B">
              <w:rPr>
                <w:color w:val="000000"/>
                <w:sz w:val="12"/>
                <w:szCs w:val="12"/>
              </w:rPr>
              <w:t xml:space="preserve"> d’origine.</w:t>
            </w:r>
          </w:p>
        </w:tc>
        <w:tc>
          <w:tcPr>
            <w:tcW w:w="1238" w:type="dxa"/>
          </w:tcPr>
          <w:p w14:paraId="6396F0CD" w14:textId="2DAD7783" w:rsidR="005A01A8" w:rsidRPr="00A83CE0" w:rsidRDefault="00CD46A6" w:rsidP="00EE371A">
            <w:pPr>
              <w:pStyle w:val="TableParagraph"/>
              <w:ind w:right="48"/>
              <w:rPr>
                <w:sz w:val="12"/>
                <w:szCs w:val="12"/>
              </w:rPr>
            </w:pPr>
            <w:r>
              <w:rPr>
                <w:color w:val="000000"/>
                <w:sz w:val="12"/>
                <w:szCs w:val="12"/>
              </w:rPr>
              <w:t>Selon les</w:t>
            </w:r>
            <w:r w:rsidR="005A01A8" w:rsidRPr="00A83CE0">
              <w:rPr>
                <w:color w:val="000000"/>
                <w:sz w:val="12"/>
                <w:szCs w:val="12"/>
              </w:rPr>
              <w:t xml:space="preserve"> Incoterms</w:t>
            </w:r>
            <w:r w:rsidR="005A01A8" w:rsidRPr="00A83CE0">
              <w:rPr>
                <w:color w:val="000000"/>
                <w:sz w:val="12"/>
                <w:szCs w:val="12"/>
                <w:vertAlign w:val="superscript"/>
              </w:rPr>
              <w:t>®</w:t>
            </w:r>
            <w:r w:rsidR="005A01A8" w:rsidRPr="00A83CE0">
              <w:rPr>
                <w:color w:val="000000"/>
                <w:sz w:val="12"/>
                <w:szCs w:val="12"/>
              </w:rPr>
              <w:t xml:space="preserve"> 2020, transfert des coûts à l’arrivée du navire au </w:t>
            </w:r>
            <w:r w:rsidR="00E83033">
              <w:rPr>
                <w:color w:val="000000"/>
                <w:sz w:val="12"/>
                <w:szCs w:val="12"/>
              </w:rPr>
              <w:t>Port de Destination</w:t>
            </w:r>
            <w:r w:rsidR="005A01A8" w:rsidRPr="00A83CE0">
              <w:rPr>
                <w:color w:val="000000"/>
                <w:sz w:val="12"/>
                <w:szCs w:val="12"/>
              </w:rPr>
              <w:t>.</w:t>
            </w:r>
          </w:p>
        </w:tc>
        <w:tc>
          <w:tcPr>
            <w:tcW w:w="1238" w:type="dxa"/>
          </w:tcPr>
          <w:p w14:paraId="30A0DD70" w14:textId="104BACEE" w:rsidR="005A01A8" w:rsidRPr="00A83CE0" w:rsidRDefault="00CD46A6" w:rsidP="00EE371A">
            <w:pPr>
              <w:pStyle w:val="TableParagraph"/>
              <w:ind w:left="58" w:right="225"/>
              <w:rPr>
                <w:sz w:val="12"/>
                <w:szCs w:val="12"/>
              </w:rPr>
            </w:pPr>
            <w:r>
              <w:rPr>
                <w:color w:val="000000"/>
                <w:sz w:val="12"/>
                <w:szCs w:val="12"/>
              </w:rPr>
              <w:t>Selon les</w:t>
            </w:r>
            <w:r w:rsidR="005A01A8" w:rsidRPr="00A83CE0">
              <w:rPr>
                <w:color w:val="000000"/>
                <w:sz w:val="12"/>
                <w:szCs w:val="12"/>
              </w:rPr>
              <w:t xml:space="preserve"> Incoterms</w:t>
            </w:r>
            <w:r w:rsidR="005A01A8" w:rsidRPr="00A83CE0">
              <w:rPr>
                <w:color w:val="000000"/>
                <w:sz w:val="12"/>
                <w:szCs w:val="12"/>
                <w:vertAlign w:val="superscript"/>
              </w:rPr>
              <w:t>®</w:t>
            </w:r>
            <w:r w:rsidR="005A01A8" w:rsidRPr="00A83CE0">
              <w:rPr>
                <w:color w:val="000000"/>
                <w:sz w:val="12"/>
                <w:szCs w:val="12"/>
              </w:rPr>
              <w:t xml:space="preserve"> 2020, le </w:t>
            </w:r>
            <w:r w:rsidR="003F3FC3">
              <w:rPr>
                <w:color w:val="000000"/>
                <w:sz w:val="12"/>
                <w:szCs w:val="12"/>
              </w:rPr>
              <w:t>Client</w:t>
            </w:r>
            <w:r w:rsidR="005A01A8" w:rsidRPr="00A83CE0">
              <w:rPr>
                <w:color w:val="000000"/>
                <w:sz w:val="12"/>
                <w:szCs w:val="12"/>
              </w:rPr>
              <w:t xml:space="preserve"> </w:t>
            </w:r>
            <w:r w:rsidR="00F66CCE">
              <w:rPr>
                <w:color w:val="000000"/>
                <w:sz w:val="12"/>
                <w:szCs w:val="12"/>
              </w:rPr>
              <w:t>dédouane</w:t>
            </w:r>
            <w:r>
              <w:rPr>
                <w:color w:val="000000"/>
                <w:sz w:val="12"/>
                <w:szCs w:val="12"/>
              </w:rPr>
              <w:t xml:space="preserve"> les bien</w:t>
            </w:r>
            <w:r w:rsidR="005A01A8" w:rsidRPr="00A83CE0">
              <w:rPr>
                <w:color w:val="000000"/>
                <w:sz w:val="12"/>
                <w:szCs w:val="12"/>
              </w:rPr>
              <w:t>s pour l</w:t>
            </w:r>
            <w:r>
              <w:rPr>
                <w:color w:val="000000"/>
                <w:sz w:val="12"/>
                <w:szCs w:val="12"/>
              </w:rPr>
              <w:t>’importation</w:t>
            </w:r>
            <w:r w:rsidR="005A01A8" w:rsidRPr="00A83CE0">
              <w:rPr>
                <w:color w:val="000000"/>
                <w:sz w:val="12"/>
                <w:szCs w:val="12"/>
              </w:rPr>
              <w:t>.</w:t>
            </w:r>
          </w:p>
        </w:tc>
      </w:tr>
    </w:tbl>
    <w:p w14:paraId="2CC3EA1C" w14:textId="77777777" w:rsidR="005A01A8" w:rsidRPr="00A83CE0" w:rsidRDefault="005A01A8" w:rsidP="005A01A8">
      <w:pPr>
        <w:pStyle w:val="BodyText"/>
        <w:spacing w:before="5"/>
        <w:jc w:val="left"/>
      </w:pPr>
    </w:p>
    <w:p w14:paraId="72F8F090" w14:textId="18EE6A5F" w:rsidR="005A01A8" w:rsidRPr="00A83CE0" w:rsidRDefault="005A01A8" w:rsidP="00A83CE0">
      <w:pPr>
        <w:pStyle w:val="ListParagraph"/>
        <w:numPr>
          <w:ilvl w:val="0"/>
          <w:numId w:val="2"/>
        </w:numPr>
        <w:tabs>
          <w:tab w:val="left" w:pos="652"/>
        </w:tabs>
        <w:spacing w:after="120"/>
        <w:ind w:left="113" w:right="142"/>
        <w:rPr>
          <w:sz w:val="12"/>
          <w:szCs w:val="12"/>
        </w:rPr>
      </w:pPr>
      <w:r w:rsidRPr="00A83CE0">
        <w:rPr>
          <w:b/>
          <w:color w:val="000000"/>
          <w:sz w:val="12"/>
          <w:szCs w:val="12"/>
        </w:rPr>
        <w:t>CALENDRIER</w:t>
      </w:r>
      <w:r w:rsidR="003C2481">
        <w:rPr>
          <w:b/>
          <w:color w:val="000000"/>
          <w:sz w:val="12"/>
          <w:szCs w:val="12"/>
        </w:rPr>
        <w:t>S</w:t>
      </w:r>
      <w:r w:rsidRPr="00A83CE0">
        <w:rPr>
          <w:color w:val="000000"/>
          <w:sz w:val="12"/>
          <w:szCs w:val="12"/>
        </w:rPr>
        <w:t xml:space="preserve"> </w:t>
      </w:r>
      <w:r w:rsidRPr="00F96483">
        <w:rPr>
          <w:b/>
          <w:bCs/>
          <w:color w:val="000000"/>
          <w:sz w:val="12"/>
          <w:szCs w:val="12"/>
        </w:rPr>
        <w:t>DE LIVRAISON</w:t>
      </w:r>
      <w:r w:rsidRPr="00A83CE0">
        <w:rPr>
          <w:color w:val="000000"/>
          <w:sz w:val="12"/>
          <w:szCs w:val="12"/>
        </w:rPr>
        <w:t xml:space="preserve">. Les </w:t>
      </w:r>
      <w:r w:rsidR="002F5453">
        <w:rPr>
          <w:color w:val="000000"/>
          <w:sz w:val="12"/>
          <w:szCs w:val="12"/>
        </w:rPr>
        <w:t>calendrier</w:t>
      </w:r>
      <w:r w:rsidRPr="00A83CE0">
        <w:rPr>
          <w:color w:val="000000"/>
          <w:sz w:val="12"/>
          <w:szCs w:val="12"/>
        </w:rPr>
        <w:t xml:space="preserve">s d’expédition ou de livraison </w:t>
      </w:r>
      <w:r w:rsidR="00681549">
        <w:rPr>
          <w:color w:val="000000"/>
          <w:sz w:val="12"/>
          <w:szCs w:val="12"/>
        </w:rPr>
        <w:t>inclu</w:t>
      </w:r>
      <w:r w:rsidRPr="00A83CE0">
        <w:rPr>
          <w:color w:val="000000"/>
          <w:sz w:val="12"/>
          <w:szCs w:val="12"/>
        </w:rPr>
        <w:t xml:space="preserve">s dans le </w:t>
      </w:r>
      <w:r w:rsidR="0079793D">
        <w:rPr>
          <w:color w:val="000000"/>
          <w:sz w:val="12"/>
          <w:szCs w:val="12"/>
        </w:rPr>
        <w:t xml:space="preserve">Contrat de vente </w:t>
      </w:r>
      <w:r w:rsidRPr="00A83CE0">
        <w:rPr>
          <w:color w:val="000000"/>
          <w:sz w:val="12"/>
          <w:szCs w:val="12"/>
        </w:rPr>
        <w:t xml:space="preserve">ne représentent que les estimations d’Interfor, et </w:t>
      </w:r>
      <w:r w:rsidR="00681549">
        <w:rPr>
          <w:color w:val="000000"/>
          <w:sz w:val="12"/>
          <w:szCs w:val="12"/>
        </w:rPr>
        <w:t xml:space="preserve">la livraison et </w:t>
      </w:r>
      <w:r w:rsidRPr="00A83CE0">
        <w:rPr>
          <w:color w:val="000000"/>
          <w:sz w:val="12"/>
          <w:szCs w:val="12"/>
        </w:rPr>
        <w:t>l’expédition partielle</w:t>
      </w:r>
      <w:r w:rsidR="00B07C5A">
        <w:rPr>
          <w:color w:val="000000"/>
          <w:sz w:val="12"/>
          <w:szCs w:val="12"/>
        </w:rPr>
        <w:t>s</w:t>
      </w:r>
      <w:r w:rsidRPr="00A83CE0">
        <w:rPr>
          <w:color w:val="000000"/>
          <w:sz w:val="12"/>
          <w:szCs w:val="12"/>
        </w:rPr>
        <w:t xml:space="preserve"> de </w:t>
      </w:r>
      <w:r w:rsidR="0079793D">
        <w:rPr>
          <w:color w:val="000000"/>
          <w:sz w:val="12"/>
          <w:szCs w:val="12"/>
        </w:rPr>
        <w:t xml:space="preserve">Produits de bois d’œuvre </w:t>
      </w:r>
      <w:r w:rsidRPr="00A83CE0">
        <w:rPr>
          <w:color w:val="000000"/>
          <w:sz w:val="12"/>
          <w:szCs w:val="12"/>
        </w:rPr>
        <w:t xml:space="preserve">sont permises. Interfor déploiera des efforts raisonnables sur le plan commercial pour respecter les </w:t>
      </w:r>
      <w:r w:rsidR="00553B86">
        <w:rPr>
          <w:color w:val="000000"/>
          <w:sz w:val="12"/>
          <w:szCs w:val="12"/>
        </w:rPr>
        <w:t>calendrier</w:t>
      </w:r>
      <w:r w:rsidRPr="00A83CE0">
        <w:rPr>
          <w:color w:val="000000"/>
          <w:sz w:val="12"/>
          <w:szCs w:val="12"/>
        </w:rPr>
        <w:t>s d’expédition et de livra</w:t>
      </w:r>
      <w:r w:rsidR="002674E5">
        <w:rPr>
          <w:color w:val="000000"/>
          <w:sz w:val="12"/>
          <w:szCs w:val="12"/>
        </w:rPr>
        <w:t>ison prévus dans le C</w:t>
      </w:r>
      <w:r w:rsidRPr="00A83CE0">
        <w:rPr>
          <w:color w:val="000000"/>
          <w:sz w:val="12"/>
          <w:szCs w:val="12"/>
        </w:rPr>
        <w:t xml:space="preserve">ontrat de vente. Interfor n’est pas responsable des retards dans l’expédition des </w:t>
      </w:r>
      <w:r w:rsidR="0079793D">
        <w:rPr>
          <w:color w:val="000000"/>
          <w:sz w:val="12"/>
          <w:szCs w:val="12"/>
        </w:rPr>
        <w:t xml:space="preserve">Produits de bois d’œuvre </w:t>
      </w:r>
      <w:r w:rsidRPr="00A83CE0">
        <w:rPr>
          <w:color w:val="000000"/>
          <w:sz w:val="12"/>
          <w:szCs w:val="12"/>
        </w:rPr>
        <w:t xml:space="preserve">ou la livraison des </w:t>
      </w:r>
      <w:r w:rsidR="0079793D">
        <w:rPr>
          <w:color w:val="000000"/>
          <w:sz w:val="12"/>
          <w:szCs w:val="12"/>
        </w:rPr>
        <w:t xml:space="preserve">Produits de bois d’œuvre </w:t>
      </w:r>
      <w:r w:rsidR="002674E5">
        <w:rPr>
          <w:color w:val="000000"/>
          <w:sz w:val="12"/>
          <w:szCs w:val="12"/>
        </w:rPr>
        <w:t>à leur D</w:t>
      </w:r>
      <w:r w:rsidRPr="00A83CE0">
        <w:rPr>
          <w:color w:val="000000"/>
          <w:sz w:val="12"/>
          <w:szCs w:val="12"/>
        </w:rPr>
        <w:t xml:space="preserve">estination finale, y compris </w:t>
      </w:r>
      <w:r w:rsidR="00275E0A">
        <w:rPr>
          <w:color w:val="000000"/>
          <w:sz w:val="12"/>
          <w:szCs w:val="12"/>
        </w:rPr>
        <w:t xml:space="preserve">mais sans s’y limiter </w:t>
      </w:r>
      <w:r w:rsidRPr="00A83CE0">
        <w:rPr>
          <w:color w:val="000000"/>
          <w:sz w:val="12"/>
          <w:szCs w:val="12"/>
        </w:rPr>
        <w:t>les retards liés à la congestion d</w:t>
      </w:r>
      <w:r w:rsidR="002D6D7C">
        <w:rPr>
          <w:color w:val="000000"/>
          <w:sz w:val="12"/>
          <w:szCs w:val="12"/>
        </w:rPr>
        <w:t>es</w:t>
      </w:r>
      <w:r w:rsidRPr="00A83CE0">
        <w:rPr>
          <w:color w:val="000000"/>
          <w:sz w:val="12"/>
          <w:szCs w:val="12"/>
        </w:rPr>
        <w:t xml:space="preserve"> port</w:t>
      </w:r>
      <w:r w:rsidR="002D6D7C">
        <w:rPr>
          <w:color w:val="000000"/>
          <w:sz w:val="12"/>
          <w:szCs w:val="12"/>
        </w:rPr>
        <w:t>s</w:t>
      </w:r>
      <w:r w:rsidRPr="00A83CE0">
        <w:rPr>
          <w:color w:val="000000"/>
          <w:sz w:val="12"/>
          <w:szCs w:val="12"/>
        </w:rPr>
        <w:t xml:space="preserve">, au déraillement des trains, aux pénuries de conteneurs et de camions, et le </w:t>
      </w:r>
      <w:r w:rsidR="003F3FC3">
        <w:rPr>
          <w:color w:val="000000"/>
          <w:sz w:val="12"/>
          <w:szCs w:val="12"/>
        </w:rPr>
        <w:t>Client</w:t>
      </w:r>
      <w:r w:rsidRPr="00A83CE0">
        <w:rPr>
          <w:color w:val="000000"/>
          <w:sz w:val="12"/>
          <w:szCs w:val="12"/>
        </w:rPr>
        <w:t xml:space="preserve"> libère </w:t>
      </w:r>
      <w:r w:rsidR="009200CA">
        <w:rPr>
          <w:color w:val="000000"/>
          <w:sz w:val="12"/>
          <w:szCs w:val="12"/>
        </w:rPr>
        <w:t xml:space="preserve">et </w:t>
      </w:r>
      <w:r w:rsidR="000D2274">
        <w:rPr>
          <w:color w:val="000000"/>
          <w:sz w:val="12"/>
          <w:szCs w:val="12"/>
        </w:rPr>
        <w:t>dé</w:t>
      </w:r>
      <w:r w:rsidR="00A4579D">
        <w:rPr>
          <w:color w:val="000000"/>
          <w:sz w:val="12"/>
          <w:szCs w:val="12"/>
        </w:rPr>
        <w:t>ch</w:t>
      </w:r>
      <w:r w:rsidR="000D2274">
        <w:rPr>
          <w:color w:val="000000"/>
          <w:sz w:val="12"/>
          <w:szCs w:val="12"/>
        </w:rPr>
        <w:t>a</w:t>
      </w:r>
      <w:r w:rsidR="00A4579D">
        <w:rPr>
          <w:color w:val="000000"/>
          <w:sz w:val="12"/>
          <w:szCs w:val="12"/>
        </w:rPr>
        <w:t>r</w:t>
      </w:r>
      <w:r w:rsidR="000D2274">
        <w:rPr>
          <w:color w:val="000000"/>
          <w:sz w:val="12"/>
          <w:szCs w:val="12"/>
        </w:rPr>
        <w:t xml:space="preserve">ge </w:t>
      </w:r>
      <w:r w:rsidRPr="00A83CE0">
        <w:rPr>
          <w:color w:val="000000"/>
          <w:sz w:val="12"/>
          <w:szCs w:val="12"/>
        </w:rPr>
        <w:t xml:space="preserve">toutes les réclamations qu’il peut avoir contre Interfor à l’égard de ces retards. Interfor peut suspendre ou retarder les livraisons à tout moment en attendant </w:t>
      </w:r>
      <w:r w:rsidR="00B02B16">
        <w:rPr>
          <w:color w:val="000000"/>
          <w:sz w:val="12"/>
          <w:szCs w:val="12"/>
        </w:rPr>
        <w:t xml:space="preserve">de recevoir des </w:t>
      </w:r>
      <w:r w:rsidR="008E08F2">
        <w:rPr>
          <w:color w:val="000000"/>
          <w:sz w:val="12"/>
          <w:szCs w:val="12"/>
        </w:rPr>
        <w:t>garanties qu’Interfor</w:t>
      </w:r>
      <w:r w:rsidRPr="00A83CE0">
        <w:rPr>
          <w:color w:val="000000"/>
          <w:sz w:val="12"/>
          <w:szCs w:val="12"/>
        </w:rPr>
        <w:t xml:space="preserve"> juge acceptables quant à la capacité du </w:t>
      </w:r>
      <w:r w:rsidR="003F3FC3">
        <w:rPr>
          <w:color w:val="000000"/>
          <w:sz w:val="12"/>
          <w:szCs w:val="12"/>
        </w:rPr>
        <w:t>Client</w:t>
      </w:r>
      <w:r w:rsidRPr="00A83CE0">
        <w:rPr>
          <w:color w:val="000000"/>
          <w:sz w:val="12"/>
          <w:szCs w:val="12"/>
        </w:rPr>
        <w:t xml:space="preserve"> de payer des </w:t>
      </w:r>
      <w:r w:rsidR="006B764E">
        <w:rPr>
          <w:color w:val="000000"/>
          <w:sz w:val="12"/>
          <w:szCs w:val="12"/>
        </w:rPr>
        <w:t>montants</w:t>
      </w:r>
      <w:r w:rsidRPr="00A83CE0">
        <w:rPr>
          <w:color w:val="000000"/>
          <w:sz w:val="12"/>
          <w:szCs w:val="12"/>
        </w:rPr>
        <w:t xml:space="preserve"> </w:t>
      </w:r>
      <w:r w:rsidR="00155FF3">
        <w:rPr>
          <w:color w:val="000000"/>
          <w:sz w:val="12"/>
          <w:szCs w:val="12"/>
        </w:rPr>
        <w:t>dus</w:t>
      </w:r>
      <w:r w:rsidR="00275E0A">
        <w:rPr>
          <w:color w:val="000000"/>
          <w:sz w:val="12"/>
          <w:szCs w:val="12"/>
        </w:rPr>
        <w:t xml:space="preserve"> </w:t>
      </w:r>
      <w:r w:rsidRPr="00A83CE0">
        <w:rPr>
          <w:color w:val="000000"/>
          <w:sz w:val="12"/>
          <w:szCs w:val="12"/>
        </w:rPr>
        <w:t xml:space="preserve">à Interfor aux termes de la présente </w:t>
      </w:r>
      <w:r w:rsidR="00292D2B">
        <w:rPr>
          <w:color w:val="000000"/>
          <w:sz w:val="12"/>
          <w:szCs w:val="12"/>
        </w:rPr>
        <w:t>Convention</w:t>
      </w:r>
      <w:r w:rsidRPr="00A83CE0">
        <w:rPr>
          <w:color w:val="000000"/>
          <w:sz w:val="12"/>
          <w:szCs w:val="12"/>
        </w:rPr>
        <w:t xml:space="preserve"> ou de toute autre </w:t>
      </w:r>
      <w:r w:rsidR="006B764E">
        <w:rPr>
          <w:color w:val="000000"/>
          <w:sz w:val="12"/>
          <w:szCs w:val="12"/>
        </w:rPr>
        <w:t>entente</w:t>
      </w:r>
      <w:r w:rsidRPr="00A83CE0">
        <w:rPr>
          <w:color w:val="000000"/>
          <w:sz w:val="12"/>
          <w:szCs w:val="12"/>
        </w:rPr>
        <w:t xml:space="preserve"> conclue entre le </w:t>
      </w:r>
      <w:r w:rsidR="003F3FC3">
        <w:rPr>
          <w:color w:val="000000"/>
          <w:sz w:val="12"/>
          <w:szCs w:val="12"/>
        </w:rPr>
        <w:t>Client</w:t>
      </w:r>
      <w:r w:rsidRPr="00A83CE0">
        <w:rPr>
          <w:color w:val="000000"/>
          <w:sz w:val="12"/>
          <w:szCs w:val="12"/>
        </w:rPr>
        <w:t xml:space="preserve"> et Interfor, ou si le </w:t>
      </w:r>
      <w:r w:rsidR="003F3FC3">
        <w:rPr>
          <w:color w:val="000000"/>
          <w:sz w:val="12"/>
          <w:szCs w:val="12"/>
        </w:rPr>
        <w:t>Client</w:t>
      </w:r>
      <w:r w:rsidRPr="00A83CE0">
        <w:rPr>
          <w:color w:val="000000"/>
          <w:sz w:val="12"/>
          <w:szCs w:val="12"/>
        </w:rPr>
        <w:t xml:space="preserve"> </w:t>
      </w:r>
      <w:r w:rsidR="006B764E">
        <w:rPr>
          <w:color w:val="000000"/>
          <w:sz w:val="12"/>
          <w:szCs w:val="12"/>
        </w:rPr>
        <w:t>fait défaut</w:t>
      </w:r>
      <w:r w:rsidRPr="00A83CE0">
        <w:rPr>
          <w:color w:val="000000"/>
          <w:sz w:val="12"/>
          <w:szCs w:val="12"/>
        </w:rPr>
        <w:t xml:space="preserve"> de payer </w:t>
      </w:r>
      <w:r w:rsidR="00B02B16">
        <w:rPr>
          <w:color w:val="000000"/>
          <w:sz w:val="12"/>
          <w:szCs w:val="12"/>
        </w:rPr>
        <w:t>tout autre montant dû.</w:t>
      </w:r>
      <w:r w:rsidRPr="00A83CE0">
        <w:rPr>
          <w:color w:val="000000"/>
          <w:sz w:val="12"/>
          <w:szCs w:val="12"/>
        </w:rPr>
        <w:t xml:space="preserve"> Si le </w:t>
      </w:r>
      <w:r w:rsidR="003F3FC3">
        <w:rPr>
          <w:color w:val="000000"/>
          <w:sz w:val="12"/>
          <w:szCs w:val="12"/>
        </w:rPr>
        <w:t>Client</w:t>
      </w:r>
      <w:r w:rsidR="00B81027">
        <w:rPr>
          <w:color w:val="000000"/>
          <w:sz w:val="12"/>
          <w:szCs w:val="12"/>
        </w:rPr>
        <w:t xml:space="preserve"> fait défaut</w:t>
      </w:r>
      <w:r w:rsidRPr="00A83CE0">
        <w:rPr>
          <w:color w:val="000000"/>
          <w:sz w:val="12"/>
          <w:szCs w:val="12"/>
        </w:rPr>
        <w:t xml:space="preserve"> de fournir rapidement </w:t>
      </w:r>
      <w:r w:rsidR="00B81027">
        <w:rPr>
          <w:color w:val="000000"/>
          <w:sz w:val="12"/>
          <w:szCs w:val="12"/>
        </w:rPr>
        <w:t>une telle</w:t>
      </w:r>
      <w:r w:rsidRPr="00A83CE0">
        <w:rPr>
          <w:color w:val="000000"/>
          <w:sz w:val="12"/>
          <w:szCs w:val="12"/>
        </w:rPr>
        <w:t xml:space="preserve"> garantie ou de faire un tel paiement, Interfor peut annuler la totalité ou une partie de la présente </w:t>
      </w:r>
      <w:r w:rsidR="00292D2B">
        <w:rPr>
          <w:color w:val="000000"/>
          <w:sz w:val="12"/>
          <w:szCs w:val="12"/>
        </w:rPr>
        <w:t>Convention</w:t>
      </w:r>
      <w:r w:rsidRPr="00A83CE0">
        <w:rPr>
          <w:color w:val="000000"/>
          <w:sz w:val="12"/>
          <w:szCs w:val="12"/>
        </w:rPr>
        <w:t xml:space="preserve"> ou de toute autre </w:t>
      </w:r>
      <w:r w:rsidR="00850104">
        <w:rPr>
          <w:color w:val="000000"/>
          <w:sz w:val="12"/>
          <w:szCs w:val="12"/>
        </w:rPr>
        <w:t>entente</w:t>
      </w:r>
      <w:r w:rsidRPr="00A83CE0">
        <w:rPr>
          <w:color w:val="000000"/>
          <w:sz w:val="12"/>
          <w:szCs w:val="12"/>
        </w:rPr>
        <w:t xml:space="preserve"> ou </w:t>
      </w:r>
      <w:r w:rsidR="00850104">
        <w:rPr>
          <w:color w:val="000000"/>
          <w:sz w:val="12"/>
          <w:szCs w:val="12"/>
        </w:rPr>
        <w:t>command</w:t>
      </w:r>
      <w:r w:rsidRPr="00A83CE0">
        <w:rPr>
          <w:color w:val="000000"/>
          <w:sz w:val="12"/>
          <w:szCs w:val="12"/>
        </w:rPr>
        <w:t xml:space="preserve">e sans autre responsabilité ni obligation envers le </w:t>
      </w:r>
      <w:r w:rsidR="003F3FC3">
        <w:rPr>
          <w:color w:val="000000"/>
          <w:sz w:val="12"/>
          <w:szCs w:val="12"/>
        </w:rPr>
        <w:t>Client</w:t>
      </w:r>
      <w:r w:rsidRPr="00A83CE0">
        <w:rPr>
          <w:color w:val="000000"/>
          <w:sz w:val="12"/>
          <w:szCs w:val="12"/>
        </w:rPr>
        <w:t>.</w:t>
      </w:r>
    </w:p>
    <w:p w14:paraId="7BCBC25A" w14:textId="4CE743B2" w:rsidR="005A01A8" w:rsidRPr="00A83CE0" w:rsidRDefault="005E6368" w:rsidP="00A83CE0">
      <w:pPr>
        <w:pStyle w:val="ListParagraph"/>
        <w:numPr>
          <w:ilvl w:val="0"/>
          <w:numId w:val="2"/>
        </w:numPr>
        <w:tabs>
          <w:tab w:val="left" w:pos="652"/>
        </w:tabs>
        <w:spacing w:after="120"/>
        <w:ind w:left="113" w:right="142"/>
        <w:rPr>
          <w:bCs/>
          <w:color w:val="000000"/>
          <w:sz w:val="12"/>
          <w:szCs w:val="12"/>
        </w:rPr>
      </w:pPr>
      <w:r>
        <w:rPr>
          <w:b/>
          <w:color w:val="000000"/>
          <w:sz w:val="12"/>
          <w:szCs w:val="12"/>
        </w:rPr>
        <w:t>DIMENSION</w:t>
      </w:r>
      <w:r w:rsidR="002A524A">
        <w:rPr>
          <w:b/>
          <w:color w:val="000000"/>
          <w:sz w:val="12"/>
          <w:szCs w:val="12"/>
        </w:rPr>
        <w:t>S</w:t>
      </w:r>
      <w:r w:rsidR="005A01A8" w:rsidRPr="00A83CE0">
        <w:rPr>
          <w:b/>
          <w:color w:val="000000"/>
          <w:sz w:val="12"/>
          <w:szCs w:val="12"/>
        </w:rPr>
        <w:t xml:space="preserve"> D</w:t>
      </w:r>
      <w:r w:rsidR="002A524A">
        <w:rPr>
          <w:b/>
          <w:color w:val="000000"/>
          <w:sz w:val="12"/>
          <w:szCs w:val="12"/>
        </w:rPr>
        <w:t>ES</w:t>
      </w:r>
      <w:r w:rsidR="005A01A8" w:rsidRPr="00A83CE0">
        <w:rPr>
          <w:b/>
          <w:color w:val="000000"/>
          <w:sz w:val="12"/>
          <w:szCs w:val="12"/>
        </w:rPr>
        <w:t xml:space="preserve"> PRODUIT</w:t>
      </w:r>
      <w:r w:rsidR="002A524A">
        <w:rPr>
          <w:b/>
          <w:color w:val="000000"/>
          <w:sz w:val="12"/>
          <w:szCs w:val="12"/>
        </w:rPr>
        <w:t>S</w:t>
      </w:r>
      <w:r w:rsidR="005A01A8" w:rsidRPr="00A83CE0">
        <w:rPr>
          <w:b/>
          <w:color w:val="000000"/>
          <w:sz w:val="12"/>
          <w:szCs w:val="12"/>
        </w:rPr>
        <w:t xml:space="preserve"> DE BOIS</w:t>
      </w:r>
      <w:r w:rsidR="002A524A">
        <w:rPr>
          <w:b/>
          <w:color w:val="000000"/>
          <w:sz w:val="12"/>
          <w:szCs w:val="12"/>
        </w:rPr>
        <w:t xml:space="preserve"> D’OEUVRE</w:t>
      </w:r>
      <w:r w:rsidR="005A01A8" w:rsidRPr="00A83CE0">
        <w:rPr>
          <w:bCs/>
          <w:color w:val="000000"/>
          <w:sz w:val="12"/>
          <w:szCs w:val="12"/>
        </w:rPr>
        <w:t xml:space="preserve">. Le </w:t>
      </w:r>
      <w:r w:rsidR="003F3FC3">
        <w:rPr>
          <w:bCs/>
          <w:color w:val="000000"/>
          <w:sz w:val="12"/>
          <w:szCs w:val="12"/>
        </w:rPr>
        <w:t>Client</w:t>
      </w:r>
      <w:r w:rsidR="005A01A8" w:rsidRPr="00A83CE0">
        <w:rPr>
          <w:bCs/>
          <w:color w:val="000000"/>
          <w:sz w:val="12"/>
          <w:szCs w:val="12"/>
        </w:rPr>
        <w:t xml:space="preserve"> reconnaît et comprend que les descriptions des </w:t>
      </w:r>
      <w:r w:rsidR="0079793D">
        <w:rPr>
          <w:bCs/>
          <w:color w:val="000000"/>
          <w:sz w:val="12"/>
          <w:szCs w:val="12"/>
        </w:rPr>
        <w:t xml:space="preserve">Produits de bois d’œuvre </w:t>
      </w:r>
      <w:r w:rsidR="005A01A8" w:rsidRPr="00A83CE0">
        <w:rPr>
          <w:bCs/>
          <w:color w:val="000000"/>
          <w:sz w:val="12"/>
          <w:szCs w:val="12"/>
        </w:rPr>
        <w:t xml:space="preserve">figurant dans le </w:t>
      </w:r>
      <w:r w:rsidR="0079793D">
        <w:rPr>
          <w:bCs/>
          <w:color w:val="000000"/>
          <w:sz w:val="12"/>
          <w:szCs w:val="12"/>
        </w:rPr>
        <w:t xml:space="preserve">Contrat de vente </w:t>
      </w:r>
      <w:r w:rsidR="005A01A8" w:rsidRPr="00A83CE0">
        <w:rPr>
          <w:bCs/>
          <w:color w:val="000000"/>
          <w:sz w:val="12"/>
          <w:szCs w:val="12"/>
        </w:rPr>
        <w:t xml:space="preserve">et les factures, peuvent refléter les </w:t>
      </w:r>
      <w:r w:rsidR="00E07E5A">
        <w:rPr>
          <w:bCs/>
          <w:color w:val="000000"/>
          <w:sz w:val="12"/>
          <w:szCs w:val="12"/>
        </w:rPr>
        <w:t>dimension</w:t>
      </w:r>
      <w:r w:rsidR="005A01A8" w:rsidRPr="00A83CE0">
        <w:rPr>
          <w:bCs/>
          <w:color w:val="000000"/>
          <w:sz w:val="12"/>
          <w:szCs w:val="12"/>
        </w:rPr>
        <w:t>s nominales des produits de bois d’</w:t>
      </w:r>
      <w:r w:rsidR="00565BF5" w:rsidRPr="00A83CE0">
        <w:rPr>
          <w:bCs/>
          <w:color w:val="000000"/>
          <w:sz w:val="12"/>
          <w:szCs w:val="12"/>
        </w:rPr>
        <w:t>œuvre</w:t>
      </w:r>
      <w:r w:rsidR="005A01A8" w:rsidRPr="00A83CE0">
        <w:rPr>
          <w:bCs/>
          <w:color w:val="000000"/>
          <w:sz w:val="12"/>
          <w:szCs w:val="12"/>
        </w:rPr>
        <w:t xml:space="preserve">. Les </w:t>
      </w:r>
      <w:r w:rsidR="00E07E5A">
        <w:rPr>
          <w:bCs/>
          <w:color w:val="000000"/>
          <w:sz w:val="12"/>
          <w:szCs w:val="12"/>
        </w:rPr>
        <w:t>dimension</w:t>
      </w:r>
      <w:r w:rsidR="005A01A8" w:rsidRPr="00A83CE0">
        <w:rPr>
          <w:bCs/>
          <w:color w:val="000000"/>
          <w:sz w:val="12"/>
          <w:szCs w:val="12"/>
        </w:rPr>
        <w:t xml:space="preserve">s nominales peuvent ne pas correspondre aux </w:t>
      </w:r>
      <w:r w:rsidR="00E07E5A">
        <w:rPr>
          <w:bCs/>
          <w:color w:val="000000"/>
          <w:sz w:val="12"/>
          <w:szCs w:val="12"/>
        </w:rPr>
        <w:t>dimension</w:t>
      </w:r>
      <w:r w:rsidR="005A01A8" w:rsidRPr="00A83CE0">
        <w:rPr>
          <w:bCs/>
          <w:color w:val="000000"/>
          <w:sz w:val="12"/>
          <w:szCs w:val="12"/>
        </w:rPr>
        <w:t xml:space="preserve">s </w:t>
      </w:r>
      <w:r w:rsidR="00776A50">
        <w:rPr>
          <w:bCs/>
          <w:color w:val="000000"/>
          <w:sz w:val="12"/>
          <w:szCs w:val="12"/>
        </w:rPr>
        <w:t>après corroyage</w:t>
      </w:r>
      <w:r w:rsidR="005A01A8" w:rsidRPr="00A83CE0">
        <w:rPr>
          <w:bCs/>
          <w:color w:val="000000"/>
          <w:sz w:val="12"/>
          <w:szCs w:val="12"/>
        </w:rPr>
        <w:t xml:space="preserve"> ou réelles des produits de bois d’</w:t>
      </w:r>
      <w:r w:rsidR="00776A50" w:rsidRPr="00A83CE0">
        <w:rPr>
          <w:bCs/>
          <w:color w:val="000000"/>
          <w:sz w:val="12"/>
          <w:szCs w:val="12"/>
        </w:rPr>
        <w:t>œuvre</w:t>
      </w:r>
      <w:r w:rsidR="005A01A8" w:rsidRPr="00A83CE0">
        <w:rPr>
          <w:bCs/>
          <w:color w:val="000000"/>
          <w:sz w:val="12"/>
          <w:szCs w:val="12"/>
        </w:rPr>
        <w:t xml:space="preserve">. Les </w:t>
      </w:r>
      <w:r w:rsidR="0079793D">
        <w:rPr>
          <w:bCs/>
          <w:color w:val="000000"/>
          <w:sz w:val="12"/>
          <w:szCs w:val="12"/>
        </w:rPr>
        <w:t xml:space="preserve">Produits de bois d’œuvre </w:t>
      </w:r>
      <w:r w:rsidR="005A01A8" w:rsidRPr="00A83CE0">
        <w:rPr>
          <w:bCs/>
          <w:color w:val="000000"/>
          <w:sz w:val="12"/>
          <w:szCs w:val="12"/>
        </w:rPr>
        <w:t xml:space="preserve">sont fabriqués conformément aux règles et aux normes de classement applicables qui précisent les </w:t>
      </w:r>
      <w:r w:rsidR="00655656">
        <w:rPr>
          <w:bCs/>
          <w:color w:val="000000"/>
          <w:sz w:val="12"/>
          <w:szCs w:val="12"/>
        </w:rPr>
        <w:t>dimension</w:t>
      </w:r>
      <w:r w:rsidR="005A01A8" w:rsidRPr="00A83CE0">
        <w:rPr>
          <w:bCs/>
          <w:color w:val="000000"/>
          <w:sz w:val="12"/>
          <w:szCs w:val="12"/>
        </w:rPr>
        <w:t xml:space="preserve">s réelles au moment de la fabrication, correspondant aux </w:t>
      </w:r>
      <w:r w:rsidR="00655656">
        <w:rPr>
          <w:bCs/>
          <w:color w:val="000000"/>
          <w:sz w:val="12"/>
          <w:szCs w:val="12"/>
        </w:rPr>
        <w:t>dimension</w:t>
      </w:r>
      <w:r w:rsidR="005A01A8" w:rsidRPr="00A83CE0">
        <w:rPr>
          <w:bCs/>
          <w:color w:val="000000"/>
          <w:sz w:val="12"/>
          <w:szCs w:val="12"/>
        </w:rPr>
        <w:t xml:space="preserve">s nominales et </w:t>
      </w:r>
      <w:r w:rsidR="00B155FF">
        <w:rPr>
          <w:bCs/>
          <w:color w:val="000000"/>
          <w:sz w:val="12"/>
          <w:szCs w:val="12"/>
        </w:rPr>
        <w:t>au séchage ou dessévage</w:t>
      </w:r>
      <w:r w:rsidR="005A01A8" w:rsidRPr="00A83CE0">
        <w:rPr>
          <w:bCs/>
          <w:color w:val="000000"/>
          <w:sz w:val="12"/>
          <w:szCs w:val="12"/>
        </w:rPr>
        <w:t xml:space="preserve"> des produits de bois d’</w:t>
      </w:r>
      <w:r w:rsidR="00776A50" w:rsidRPr="00A83CE0">
        <w:rPr>
          <w:bCs/>
          <w:color w:val="000000"/>
          <w:sz w:val="12"/>
          <w:szCs w:val="12"/>
        </w:rPr>
        <w:t>œuvre</w:t>
      </w:r>
      <w:r w:rsidR="005A01A8" w:rsidRPr="00A83CE0">
        <w:rPr>
          <w:bCs/>
          <w:color w:val="000000"/>
          <w:sz w:val="12"/>
          <w:szCs w:val="12"/>
        </w:rPr>
        <w:t>.</w:t>
      </w:r>
    </w:p>
    <w:p w14:paraId="3A7293F6" w14:textId="435FFC30" w:rsidR="00E829AE" w:rsidRPr="00A83CE0" w:rsidRDefault="005A01A8" w:rsidP="00A83CE0">
      <w:pPr>
        <w:pStyle w:val="BodyText"/>
        <w:numPr>
          <w:ilvl w:val="0"/>
          <w:numId w:val="2"/>
        </w:numPr>
        <w:spacing w:after="120"/>
        <w:ind w:left="113" w:right="40"/>
      </w:pPr>
      <w:r w:rsidRPr="00A83CE0">
        <w:rPr>
          <w:b/>
          <w:color w:val="000000"/>
          <w:spacing w:val="-1"/>
        </w:rPr>
        <w:t>INSPECTION, ACCEPTATION, REJET</w:t>
      </w:r>
      <w:r w:rsidRPr="00A83CE0">
        <w:rPr>
          <w:color w:val="000000"/>
        </w:rPr>
        <w:t xml:space="preserve">. Le </w:t>
      </w:r>
      <w:r w:rsidR="003F3FC3">
        <w:rPr>
          <w:color w:val="000000"/>
        </w:rPr>
        <w:t>Client</w:t>
      </w:r>
      <w:r w:rsidR="00E3780D">
        <w:rPr>
          <w:color w:val="000000"/>
        </w:rPr>
        <w:t xml:space="preserve"> </w:t>
      </w:r>
      <w:r w:rsidRPr="00A83CE0">
        <w:rPr>
          <w:color w:val="000000"/>
        </w:rPr>
        <w:t>inspectera</w:t>
      </w:r>
      <w:r w:rsidR="00E3780D">
        <w:rPr>
          <w:color w:val="000000"/>
        </w:rPr>
        <w:t>, à ses frais,</w:t>
      </w:r>
      <w:r w:rsidRPr="00A83CE0">
        <w:rPr>
          <w:color w:val="000000"/>
        </w:rPr>
        <w:t xml:space="preserve"> les </w:t>
      </w:r>
      <w:r w:rsidR="0079793D">
        <w:rPr>
          <w:color w:val="000000"/>
        </w:rPr>
        <w:t xml:space="preserve">Produits de bois d’œuvre </w:t>
      </w:r>
      <w:r w:rsidRPr="00A83CE0">
        <w:rPr>
          <w:color w:val="000000"/>
        </w:rPr>
        <w:t xml:space="preserve">lorsqu’ils auront été livrés à la </w:t>
      </w:r>
      <w:r w:rsidR="0079793D">
        <w:rPr>
          <w:color w:val="000000"/>
        </w:rPr>
        <w:t xml:space="preserve">Destination finale </w:t>
      </w:r>
      <w:r w:rsidRPr="00A83CE0">
        <w:rPr>
          <w:color w:val="000000"/>
        </w:rPr>
        <w:t xml:space="preserve">ou au </w:t>
      </w:r>
      <w:r w:rsidR="00E83033">
        <w:rPr>
          <w:color w:val="000000"/>
        </w:rPr>
        <w:t>Port de Destination</w:t>
      </w:r>
      <w:r w:rsidRPr="00A83CE0">
        <w:rPr>
          <w:color w:val="000000"/>
        </w:rPr>
        <w:t xml:space="preserve">. Le </w:t>
      </w:r>
      <w:r w:rsidR="003F3FC3">
        <w:rPr>
          <w:color w:val="000000"/>
        </w:rPr>
        <w:t>Client</w:t>
      </w:r>
      <w:r w:rsidRPr="00A83CE0">
        <w:rPr>
          <w:color w:val="000000"/>
        </w:rPr>
        <w:t xml:space="preserve"> ne peut rejeter les </w:t>
      </w:r>
      <w:r w:rsidR="0079793D">
        <w:rPr>
          <w:color w:val="000000"/>
        </w:rPr>
        <w:t xml:space="preserve">Produits de bois d’œuvre </w:t>
      </w:r>
      <w:r w:rsidRPr="00A83CE0">
        <w:rPr>
          <w:color w:val="000000"/>
        </w:rPr>
        <w:t xml:space="preserve">que </w:t>
      </w:r>
      <w:r w:rsidR="00B82E4D">
        <w:rPr>
          <w:color w:val="000000"/>
        </w:rPr>
        <w:t>dans les cas suivants</w:t>
      </w:r>
      <w:r w:rsidRPr="00A83CE0">
        <w:rPr>
          <w:color w:val="000000"/>
        </w:rPr>
        <w:t xml:space="preserve"> : a) les </w:t>
      </w:r>
      <w:r w:rsidR="0079793D">
        <w:rPr>
          <w:color w:val="000000"/>
        </w:rPr>
        <w:t xml:space="preserve">Produits de bois d’œuvre </w:t>
      </w:r>
      <w:r w:rsidRPr="00A83CE0">
        <w:rPr>
          <w:color w:val="000000"/>
        </w:rPr>
        <w:t>ne s</w:t>
      </w:r>
      <w:r w:rsidR="00136AAA">
        <w:rPr>
          <w:color w:val="000000"/>
        </w:rPr>
        <w:t>ont pas</w:t>
      </w:r>
      <w:r w:rsidRPr="00A83CE0">
        <w:rPr>
          <w:color w:val="000000"/>
        </w:rPr>
        <w:t xml:space="preserve"> conforme</w:t>
      </w:r>
      <w:r w:rsidR="00136AAA">
        <w:rPr>
          <w:color w:val="000000"/>
        </w:rPr>
        <w:t>s</w:t>
      </w:r>
      <w:r w:rsidR="00D33CBC">
        <w:rPr>
          <w:color w:val="000000"/>
        </w:rPr>
        <w:t xml:space="preserve">: </w:t>
      </w:r>
      <w:r w:rsidRPr="00A83CE0">
        <w:rPr>
          <w:color w:val="000000"/>
        </w:rPr>
        <w:t xml:space="preserve">i) </w:t>
      </w:r>
      <w:r w:rsidR="005F7424">
        <w:rPr>
          <w:color w:val="000000"/>
        </w:rPr>
        <w:t>au</w:t>
      </w:r>
      <w:r w:rsidRPr="00A83CE0">
        <w:rPr>
          <w:color w:val="000000"/>
        </w:rPr>
        <w:t xml:space="preserve"> numéro et </w:t>
      </w:r>
      <w:r w:rsidR="005F7424">
        <w:rPr>
          <w:color w:val="000000"/>
        </w:rPr>
        <w:t xml:space="preserve">à </w:t>
      </w:r>
      <w:r w:rsidRPr="00A83CE0">
        <w:rPr>
          <w:color w:val="000000"/>
        </w:rPr>
        <w:t xml:space="preserve">la description figurant dans le </w:t>
      </w:r>
      <w:r w:rsidR="00720A3F">
        <w:rPr>
          <w:color w:val="000000"/>
        </w:rPr>
        <w:t>C</w:t>
      </w:r>
      <w:r w:rsidRPr="00A83CE0">
        <w:rPr>
          <w:color w:val="000000"/>
        </w:rPr>
        <w:t xml:space="preserve">ontrat de vente; ii) </w:t>
      </w:r>
      <w:r w:rsidR="001F5BE3">
        <w:rPr>
          <w:color w:val="000000"/>
        </w:rPr>
        <w:t>aux dimension</w:t>
      </w:r>
      <w:r w:rsidRPr="00A83CE0">
        <w:rPr>
          <w:color w:val="000000"/>
        </w:rPr>
        <w:t xml:space="preserve">s nominales sur les étiquettes apposées sur les </w:t>
      </w:r>
      <w:r w:rsidR="00CF5A44">
        <w:rPr>
          <w:color w:val="000000"/>
        </w:rPr>
        <w:t>P</w:t>
      </w:r>
      <w:r w:rsidRPr="00A83CE0">
        <w:rPr>
          <w:color w:val="000000"/>
        </w:rPr>
        <w:t>roduits de bois d’</w:t>
      </w:r>
      <w:r w:rsidR="00776A50" w:rsidRPr="00A83CE0">
        <w:rPr>
          <w:color w:val="000000"/>
        </w:rPr>
        <w:t>œuvre</w:t>
      </w:r>
      <w:r w:rsidRPr="00A83CE0">
        <w:rPr>
          <w:color w:val="000000"/>
        </w:rPr>
        <w:t>; ou</w:t>
      </w:r>
      <w:r w:rsidR="00E829AE" w:rsidRPr="00A83CE0">
        <w:rPr>
          <w:color w:val="000000"/>
        </w:rPr>
        <w:t xml:space="preserve"> iii) </w:t>
      </w:r>
      <w:r w:rsidR="001F5BE3">
        <w:rPr>
          <w:color w:val="000000"/>
        </w:rPr>
        <w:t>aux</w:t>
      </w:r>
      <w:r w:rsidR="00E829AE" w:rsidRPr="00A83CE0">
        <w:rPr>
          <w:color w:val="000000"/>
        </w:rPr>
        <w:t xml:space="preserve"> </w:t>
      </w:r>
      <w:r w:rsidR="002674E5">
        <w:rPr>
          <w:color w:val="000000"/>
        </w:rPr>
        <w:t>s</w:t>
      </w:r>
      <w:r w:rsidR="00E83033">
        <w:rPr>
          <w:color w:val="000000"/>
        </w:rPr>
        <w:t>pécifications</w:t>
      </w:r>
      <w:r w:rsidR="00E829AE" w:rsidRPr="00A83CE0">
        <w:rPr>
          <w:color w:val="000000"/>
        </w:rPr>
        <w:t xml:space="preserve"> de classement établies par les </w:t>
      </w:r>
      <w:r w:rsidR="00967D0B" w:rsidRPr="00136AAA">
        <w:rPr>
          <w:i/>
          <w:iCs/>
          <w:color w:val="000000"/>
        </w:rPr>
        <w:t xml:space="preserve">American </w:t>
      </w:r>
      <w:proofErr w:type="spellStart"/>
      <w:r w:rsidR="00967D0B" w:rsidRPr="00136AAA">
        <w:rPr>
          <w:i/>
          <w:iCs/>
          <w:color w:val="000000"/>
        </w:rPr>
        <w:t>Lumber</w:t>
      </w:r>
      <w:proofErr w:type="spellEnd"/>
      <w:r w:rsidR="00967D0B" w:rsidRPr="00136AAA">
        <w:rPr>
          <w:i/>
          <w:iCs/>
          <w:color w:val="000000"/>
        </w:rPr>
        <w:t xml:space="preserve"> Standards</w:t>
      </w:r>
      <w:r w:rsidR="00967D0B">
        <w:rPr>
          <w:color w:val="000000"/>
        </w:rPr>
        <w:t xml:space="preserve"> (</w:t>
      </w:r>
      <w:r w:rsidR="00E829AE" w:rsidRPr="00A83CE0">
        <w:rPr>
          <w:color w:val="000000"/>
        </w:rPr>
        <w:t xml:space="preserve">normes américaines du </w:t>
      </w:r>
      <w:r w:rsidR="0025578D">
        <w:rPr>
          <w:color w:val="000000"/>
        </w:rPr>
        <w:t>bois d’œuvre</w:t>
      </w:r>
      <w:r w:rsidR="00967D0B">
        <w:rPr>
          <w:color w:val="000000"/>
        </w:rPr>
        <w:t>)</w:t>
      </w:r>
      <w:r w:rsidR="0025578D">
        <w:rPr>
          <w:color w:val="000000"/>
        </w:rPr>
        <w:t xml:space="preserve"> </w:t>
      </w:r>
      <w:r w:rsidR="00E829AE" w:rsidRPr="00A83CE0">
        <w:rPr>
          <w:color w:val="000000"/>
        </w:rPr>
        <w:t xml:space="preserve">et en vigueur à la date de livraison des </w:t>
      </w:r>
      <w:r w:rsidR="0079793D">
        <w:rPr>
          <w:color w:val="000000"/>
        </w:rPr>
        <w:t xml:space="preserve">Produits de bois d’œuvre </w:t>
      </w:r>
      <w:r w:rsidR="00E829AE" w:rsidRPr="00A83CE0">
        <w:rPr>
          <w:color w:val="000000"/>
        </w:rPr>
        <w:t xml:space="preserve">au </w:t>
      </w:r>
      <w:r w:rsidR="003F3FC3">
        <w:rPr>
          <w:color w:val="000000"/>
        </w:rPr>
        <w:t>Client</w:t>
      </w:r>
      <w:r w:rsidR="00E829AE" w:rsidRPr="00A83CE0">
        <w:rPr>
          <w:color w:val="000000"/>
        </w:rPr>
        <w:t xml:space="preserve"> (collectivement, les « </w:t>
      </w:r>
      <w:r w:rsidR="00E83033">
        <w:rPr>
          <w:b/>
          <w:color w:val="000000"/>
        </w:rPr>
        <w:t>Spécifications</w:t>
      </w:r>
      <w:r w:rsidR="00E829AE" w:rsidRPr="00A83CE0">
        <w:rPr>
          <w:color w:val="000000"/>
        </w:rPr>
        <w:t xml:space="preserve"> »); b) le </w:t>
      </w:r>
      <w:r w:rsidR="003F3FC3">
        <w:rPr>
          <w:color w:val="000000"/>
        </w:rPr>
        <w:t>Client</w:t>
      </w:r>
      <w:r w:rsidR="00E829AE" w:rsidRPr="00A83CE0">
        <w:rPr>
          <w:color w:val="000000"/>
        </w:rPr>
        <w:t xml:space="preserve"> avise Interfor par écrit de tout produit de </w:t>
      </w:r>
      <w:r w:rsidR="0025578D">
        <w:rPr>
          <w:color w:val="000000"/>
        </w:rPr>
        <w:t xml:space="preserve">bois d’œuvre </w:t>
      </w:r>
      <w:r w:rsidR="00E829AE" w:rsidRPr="00A83CE0">
        <w:rPr>
          <w:color w:val="000000"/>
        </w:rPr>
        <w:t xml:space="preserve">non conforme dans les </w:t>
      </w:r>
      <w:r w:rsidR="00C31AE2">
        <w:rPr>
          <w:color w:val="000000"/>
        </w:rPr>
        <w:t>sept (</w:t>
      </w:r>
      <w:r w:rsidR="00E829AE" w:rsidRPr="00A83CE0">
        <w:rPr>
          <w:color w:val="000000"/>
        </w:rPr>
        <w:t>7</w:t>
      </w:r>
      <w:r w:rsidR="00C31AE2">
        <w:rPr>
          <w:color w:val="000000"/>
        </w:rPr>
        <w:t>)</w:t>
      </w:r>
      <w:r w:rsidR="00E829AE" w:rsidRPr="00A83CE0">
        <w:rPr>
          <w:color w:val="000000"/>
        </w:rPr>
        <w:t xml:space="preserve"> jours de la livraison des </w:t>
      </w:r>
      <w:r w:rsidR="0079793D">
        <w:rPr>
          <w:color w:val="000000"/>
        </w:rPr>
        <w:t xml:space="preserve">Produits de bois d’œuvre </w:t>
      </w:r>
      <w:r w:rsidR="00E829AE" w:rsidRPr="00A83CE0">
        <w:rPr>
          <w:color w:val="000000"/>
        </w:rPr>
        <w:t xml:space="preserve">à la </w:t>
      </w:r>
      <w:r w:rsidR="0079793D">
        <w:rPr>
          <w:color w:val="000000"/>
        </w:rPr>
        <w:t xml:space="preserve">Destination finale </w:t>
      </w:r>
      <w:r w:rsidR="00E829AE" w:rsidRPr="00A83CE0">
        <w:rPr>
          <w:color w:val="000000"/>
        </w:rPr>
        <w:t xml:space="preserve">ou au </w:t>
      </w:r>
      <w:r w:rsidR="00E83033">
        <w:rPr>
          <w:color w:val="000000"/>
        </w:rPr>
        <w:t>Port de Destination</w:t>
      </w:r>
      <w:r w:rsidR="00E829AE" w:rsidRPr="00A83CE0">
        <w:rPr>
          <w:color w:val="000000"/>
        </w:rPr>
        <w:t xml:space="preserve">. Les </w:t>
      </w:r>
      <w:r w:rsidR="0079793D">
        <w:rPr>
          <w:color w:val="000000"/>
        </w:rPr>
        <w:t xml:space="preserve">Produits de bois d’œuvre </w:t>
      </w:r>
      <w:r w:rsidR="00E829AE" w:rsidRPr="00A83CE0">
        <w:rPr>
          <w:color w:val="000000"/>
        </w:rPr>
        <w:t xml:space="preserve">qui n’ont pas été notifiés dans les délais par le </w:t>
      </w:r>
      <w:r w:rsidR="003F3FC3">
        <w:rPr>
          <w:color w:val="000000"/>
        </w:rPr>
        <w:t>Client</w:t>
      </w:r>
      <w:r w:rsidR="00E829AE" w:rsidRPr="00A83CE0">
        <w:rPr>
          <w:color w:val="000000"/>
        </w:rPr>
        <w:t xml:space="preserve"> comme étant non conformes seront réputés être acceptés par le </w:t>
      </w:r>
      <w:r w:rsidR="003F3FC3">
        <w:rPr>
          <w:color w:val="000000"/>
        </w:rPr>
        <w:t>Client</w:t>
      </w:r>
      <w:r w:rsidR="00E829AE" w:rsidRPr="00A83CE0">
        <w:rPr>
          <w:color w:val="000000"/>
        </w:rPr>
        <w:t xml:space="preserve">. Le rejet par le </w:t>
      </w:r>
      <w:r w:rsidR="003F3FC3">
        <w:rPr>
          <w:color w:val="000000"/>
        </w:rPr>
        <w:t>Client</w:t>
      </w:r>
      <w:r w:rsidR="00E829AE" w:rsidRPr="00A83CE0">
        <w:rPr>
          <w:color w:val="000000"/>
        </w:rPr>
        <w:t xml:space="preserve"> de tout </w:t>
      </w:r>
      <w:r w:rsidR="00C31AE2">
        <w:rPr>
          <w:color w:val="000000"/>
        </w:rPr>
        <w:t>P</w:t>
      </w:r>
      <w:r w:rsidR="00E829AE" w:rsidRPr="00A83CE0">
        <w:rPr>
          <w:color w:val="000000"/>
        </w:rPr>
        <w:t xml:space="preserve">roduit de </w:t>
      </w:r>
      <w:r w:rsidR="0025578D">
        <w:rPr>
          <w:color w:val="000000"/>
        </w:rPr>
        <w:t xml:space="preserve">bois d’œuvre </w:t>
      </w:r>
      <w:r w:rsidR="00E829AE" w:rsidRPr="00A83CE0">
        <w:rPr>
          <w:color w:val="000000"/>
        </w:rPr>
        <w:t xml:space="preserve">ne </w:t>
      </w:r>
      <w:r w:rsidR="00B21F05">
        <w:rPr>
          <w:color w:val="000000"/>
        </w:rPr>
        <w:t xml:space="preserve">libère </w:t>
      </w:r>
      <w:r w:rsidR="00972D03">
        <w:rPr>
          <w:color w:val="000000"/>
        </w:rPr>
        <w:t>pas ni</w:t>
      </w:r>
      <w:r w:rsidR="00B21F05">
        <w:rPr>
          <w:color w:val="000000"/>
        </w:rPr>
        <w:t xml:space="preserve"> ne </w:t>
      </w:r>
      <w:r w:rsidR="00E829AE" w:rsidRPr="00A83CE0">
        <w:rPr>
          <w:color w:val="000000"/>
        </w:rPr>
        <w:t xml:space="preserve">décharge le </w:t>
      </w:r>
      <w:r w:rsidR="003F3FC3">
        <w:rPr>
          <w:color w:val="000000"/>
        </w:rPr>
        <w:t>Client</w:t>
      </w:r>
      <w:r w:rsidR="00E829AE" w:rsidRPr="00A83CE0">
        <w:rPr>
          <w:color w:val="000000"/>
        </w:rPr>
        <w:t xml:space="preserve"> de son obligation de payer pour d’autres </w:t>
      </w:r>
      <w:r w:rsidR="0079793D">
        <w:rPr>
          <w:color w:val="000000"/>
        </w:rPr>
        <w:t xml:space="preserve">Produits de bois d’œuvre </w:t>
      </w:r>
      <w:r w:rsidR="00E829AE" w:rsidRPr="00A83CE0">
        <w:rPr>
          <w:color w:val="000000"/>
        </w:rPr>
        <w:t>ou de s’</w:t>
      </w:r>
      <w:r w:rsidR="00B2146F">
        <w:rPr>
          <w:color w:val="000000"/>
        </w:rPr>
        <w:t>acquitter</w:t>
      </w:r>
      <w:r w:rsidR="00E829AE" w:rsidRPr="00A83CE0">
        <w:rPr>
          <w:color w:val="000000"/>
        </w:rPr>
        <w:t xml:space="preserve"> par ailleurs </w:t>
      </w:r>
      <w:r w:rsidR="00B2146F">
        <w:rPr>
          <w:color w:val="000000"/>
        </w:rPr>
        <w:t xml:space="preserve">de ses obligations </w:t>
      </w:r>
      <w:r w:rsidR="00E829AE" w:rsidRPr="00A83CE0">
        <w:rPr>
          <w:color w:val="000000"/>
        </w:rPr>
        <w:t xml:space="preserve">aux termes de la </w:t>
      </w:r>
      <w:r w:rsidR="00292D2B">
        <w:rPr>
          <w:color w:val="000000"/>
        </w:rPr>
        <w:t>Convention</w:t>
      </w:r>
      <w:r w:rsidR="00E829AE" w:rsidRPr="00A83CE0">
        <w:rPr>
          <w:color w:val="000000"/>
        </w:rPr>
        <w:t>.</w:t>
      </w:r>
    </w:p>
    <w:p w14:paraId="22688207" w14:textId="2DF71773" w:rsidR="005A01A8" w:rsidRPr="00A83CE0" w:rsidRDefault="00F5070D" w:rsidP="00A83CE0">
      <w:pPr>
        <w:pStyle w:val="ListParagraph"/>
        <w:numPr>
          <w:ilvl w:val="0"/>
          <w:numId w:val="2"/>
        </w:numPr>
        <w:tabs>
          <w:tab w:val="left" w:pos="652"/>
        </w:tabs>
        <w:spacing w:after="120"/>
        <w:ind w:right="40"/>
        <w:rPr>
          <w:sz w:val="12"/>
          <w:szCs w:val="12"/>
        </w:rPr>
      </w:pPr>
      <w:r>
        <w:rPr>
          <w:b/>
          <w:color w:val="000000"/>
          <w:sz w:val="12"/>
          <w:szCs w:val="12"/>
        </w:rPr>
        <w:t>CONFORMITÉ À</w:t>
      </w:r>
      <w:r w:rsidR="00E829AE" w:rsidRPr="00A83CE0">
        <w:rPr>
          <w:b/>
          <w:color w:val="000000"/>
          <w:sz w:val="12"/>
          <w:szCs w:val="12"/>
        </w:rPr>
        <w:t xml:space="preserve"> LA LÉGISLATION</w:t>
      </w:r>
      <w:r w:rsidR="005A01A8" w:rsidRPr="00DB6AA8">
        <w:rPr>
          <w:bCs/>
          <w:color w:val="000000"/>
          <w:sz w:val="12"/>
          <w:szCs w:val="12"/>
        </w:rPr>
        <w:t>.</w:t>
      </w:r>
      <w:r w:rsidR="005A01A8" w:rsidRPr="00A83CE0">
        <w:rPr>
          <w:color w:val="000000"/>
          <w:sz w:val="12"/>
          <w:szCs w:val="12"/>
        </w:rPr>
        <w:t xml:space="preserve"> Interfor et le </w:t>
      </w:r>
      <w:r w:rsidR="003F3FC3">
        <w:rPr>
          <w:color w:val="000000"/>
          <w:sz w:val="12"/>
          <w:szCs w:val="12"/>
        </w:rPr>
        <w:t>Client</w:t>
      </w:r>
      <w:r w:rsidR="005A01A8" w:rsidRPr="00A83CE0">
        <w:rPr>
          <w:color w:val="000000"/>
          <w:sz w:val="12"/>
          <w:szCs w:val="12"/>
        </w:rPr>
        <w:t xml:space="preserve"> se conforment aux dispositions de l’ensemble des lois, règles et règlements applicables, notamment fédéraux, étatiques, provinciaux, municipaux et locaux, dans l’exécution de leurs obligations respectives aux termes de la </w:t>
      </w:r>
      <w:r w:rsidR="00292D2B">
        <w:rPr>
          <w:color w:val="000000"/>
          <w:sz w:val="12"/>
          <w:szCs w:val="12"/>
        </w:rPr>
        <w:t>Convention</w:t>
      </w:r>
      <w:r w:rsidR="005A01A8" w:rsidRPr="00A83CE0">
        <w:rPr>
          <w:color w:val="000000"/>
          <w:sz w:val="12"/>
          <w:szCs w:val="12"/>
        </w:rPr>
        <w:t>.</w:t>
      </w:r>
    </w:p>
    <w:p w14:paraId="2651C3EF" w14:textId="34BC11FC" w:rsidR="005A01A8" w:rsidRPr="00A83CE0" w:rsidRDefault="005A01A8" w:rsidP="00A83CE0">
      <w:pPr>
        <w:pStyle w:val="ListParagraph"/>
        <w:numPr>
          <w:ilvl w:val="0"/>
          <w:numId w:val="2"/>
        </w:numPr>
        <w:tabs>
          <w:tab w:val="left" w:pos="652"/>
        </w:tabs>
        <w:spacing w:after="120"/>
        <w:ind w:right="40"/>
        <w:rPr>
          <w:sz w:val="12"/>
          <w:szCs w:val="12"/>
        </w:rPr>
      </w:pPr>
      <w:bookmarkStart w:id="0" w:name="_bookmark2"/>
      <w:bookmarkEnd w:id="0"/>
      <w:r w:rsidRPr="00A83CE0">
        <w:rPr>
          <w:b/>
          <w:color w:val="000000"/>
          <w:sz w:val="12"/>
          <w:szCs w:val="12"/>
        </w:rPr>
        <w:t xml:space="preserve">PROPOSITION </w:t>
      </w:r>
      <w:r w:rsidR="00C31D09">
        <w:rPr>
          <w:b/>
          <w:color w:val="000000"/>
          <w:sz w:val="12"/>
          <w:szCs w:val="12"/>
        </w:rPr>
        <w:t xml:space="preserve">65 </w:t>
      </w:r>
      <w:r w:rsidRPr="00A83CE0">
        <w:rPr>
          <w:b/>
          <w:color w:val="000000"/>
          <w:sz w:val="12"/>
          <w:szCs w:val="12"/>
        </w:rPr>
        <w:t>DE LA CALIFORNIE</w:t>
      </w:r>
      <w:r w:rsidRPr="00A83CE0">
        <w:rPr>
          <w:color w:val="000000"/>
          <w:sz w:val="12"/>
          <w:szCs w:val="12"/>
        </w:rPr>
        <w:t xml:space="preserve">. Le </w:t>
      </w:r>
      <w:r w:rsidR="003F3FC3">
        <w:rPr>
          <w:color w:val="000000"/>
          <w:sz w:val="12"/>
          <w:szCs w:val="12"/>
        </w:rPr>
        <w:t>Client</w:t>
      </w:r>
      <w:r w:rsidRPr="00A83CE0">
        <w:rPr>
          <w:color w:val="000000"/>
          <w:sz w:val="12"/>
          <w:szCs w:val="12"/>
        </w:rPr>
        <w:t xml:space="preserve"> est informé que l’inhalation de poussières de bois d</w:t>
      </w:r>
      <w:r w:rsidR="00A31C72">
        <w:rPr>
          <w:color w:val="000000"/>
          <w:sz w:val="12"/>
          <w:szCs w:val="12"/>
        </w:rPr>
        <w:t>’</w:t>
      </w:r>
      <w:r w:rsidR="0079793D">
        <w:rPr>
          <w:color w:val="000000"/>
          <w:sz w:val="12"/>
          <w:szCs w:val="12"/>
        </w:rPr>
        <w:t>œuvre</w:t>
      </w:r>
      <w:r w:rsidRPr="00A83CE0">
        <w:rPr>
          <w:color w:val="000000"/>
          <w:sz w:val="12"/>
          <w:szCs w:val="12"/>
        </w:rPr>
        <w:t xml:space="preserve"> pourrait entraîner une exposition du consommateur à un produit chimique </w:t>
      </w:r>
      <w:r w:rsidR="003B3077">
        <w:rPr>
          <w:color w:val="000000"/>
          <w:sz w:val="12"/>
          <w:szCs w:val="12"/>
        </w:rPr>
        <w:t>re</w:t>
      </w:r>
      <w:r w:rsidRPr="00A83CE0">
        <w:rPr>
          <w:color w:val="000000"/>
          <w:sz w:val="12"/>
          <w:szCs w:val="12"/>
        </w:rPr>
        <w:t xml:space="preserve">connu par l’État de Californie </w:t>
      </w:r>
      <w:r w:rsidR="003B3077">
        <w:rPr>
          <w:color w:val="000000"/>
          <w:sz w:val="12"/>
          <w:szCs w:val="12"/>
        </w:rPr>
        <w:t xml:space="preserve">comme </w:t>
      </w:r>
      <w:r w:rsidR="0072455D">
        <w:rPr>
          <w:color w:val="000000"/>
          <w:sz w:val="12"/>
          <w:szCs w:val="12"/>
        </w:rPr>
        <w:t>causant le</w:t>
      </w:r>
      <w:r w:rsidRPr="00A83CE0">
        <w:rPr>
          <w:color w:val="000000"/>
          <w:sz w:val="12"/>
          <w:szCs w:val="12"/>
        </w:rPr>
        <w:t xml:space="preserve"> cancer. Si le </w:t>
      </w:r>
      <w:r w:rsidR="003F3FC3">
        <w:rPr>
          <w:color w:val="000000"/>
          <w:sz w:val="12"/>
          <w:szCs w:val="12"/>
        </w:rPr>
        <w:t>Client</w:t>
      </w:r>
      <w:r w:rsidRPr="00A83CE0">
        <w:rPr>
          <w:color w:val="000000"/>
          <w:sz w:val="12"/>
          <w:szCs w:val="12"/>
        </w:rPr>
        <w:t xml:space="preserve"> est un détaillant californien ou a l’intention d’intégrer des </w:t>
      </w:r>
      <w:r w:rsidR="0079793D">
        <w:rPr>
          <w:color w:val="000000"/>
          <w:sz w:val="12"/>
          <w:szCs w:val="12"/>
        </w:rPr>
        <w:t xml:space="preserve">Produits de bois d’œuvre </w:t>
      </w:r>
      <w:r w:rsidRPr="00A83CE0">
        <w:rPr>
          <w:color w:val="000000"/>
          <w:sz w:val="12"/>
          <w:szCs w:val="12"/>
        </w:rPr>
        <w:t xml:space="preserve">dans le commerce en Californie, le </w:t>
      </w:r>
      <w:r w:rsidR="003F3FC3">
        <w:rPr>
          <w:color w:val="000000"/>
          <w:sz w:val="12"/>
          <w:szCs w:val="12"/>
        </w:rPr>
        <w:t>Client</w:t>
      </w:r>
      <w:r w:rsidRPr="00A83CE0">
        <w:rPr>
          <w:color w:val="000000"/>
          <w:sz w:val="12"/>
          <w:szCs w:val="12"/>
        </w:rPr>
        <w:t xml:space="preserve"> affichera l’avertissement suivant :</w:t>
      </w:r>
    </w:p>
    <w:p w14:paraId="40FF207C" w14:textId="3276BEAA" w:rsidR="00E829AE" w:rsidRPr="00A83CE0" w:rsidRDefault="00E829AE" w:rsidP="00A83CE0">
      <w:pPr>
        <w:pStyle w:val="BodyText"/>
        <w:spacing w:after="120"/>
        <w:ind w:left="292" w:right="38"/>
      </w:pPr>
      <w:r w:rsidRPr="00A83CE0">
        <w:rPr>
          <w:noProof/>
          <w:color w:val="000000"/>
          <w:lang w:eastAsia="fr-CA"/>
        </w:rPr>
        <w:drawing>
          <wp:anchor distT="0" distB="0" distL="114300" distR="114300" simplePos="0" relativeHeight="251661312" behindDoc="0" locked="0" layoutInCell="1" allowOverlap="1" wp14:anchorId="4F876225" wp14:editId="2B1EE2F4">
            <wp:simplePos x="0" y="0"/>
            <wp:positionH relativeFrom="column">
              <wp:posOffset>217805</wp:posOffset>
            </wp:positionH>
            <wp:positionV relativeFrom="paragraph">
              <wp:posOffset>-4919</wp:posOffset>
            </wp:positionV>
            <wp:extent cx="232410" cy="209550"/>
            <wp:effectExtent l="0" t="0" r="0" b="0"/>
            <wp:wrapThrough wrapText="bothSides">
              <wp:wrapPolygon edited="0">
                <wp:start x="5311" y="0"/>
                <wp:lineTo x="0" y="15709"/>
                <wp:lineTo x="0" y="19636"/>
                <wp:lineTo x="19475" y="19636"/>
                <wp:lineTo x="19475" y="13745"/>
                <wp:lineTo x="14164" y="0"/>
                <wp:lineTo x="5311" y="0"/>
              </wp:wrapPolygon>
            </wp:wrapThrough>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2410" cy="209550"/>
                    </a:xfrm>
                    <a:prstGeom prst="rect">
                      <a:avLst/>
                    </a:prstGeom>
                  </pic:spPr>
                </pic:pic>
              </a:graphicData>
            </a:graphic>
            <wp14:sizeRelH relativeFrom="page">
              <wp14:pctWidth>0</wp14:pctWidth>
            </wp14:sizeRelH>
            <wp14:sizeRelV relativeFrom="page">
              <wp14:pctHeight>0</wp14:pctHeight>
            </wp14:sizeRelV>
          </wp:anchor>
        </w:drawing>
      </w:r>
      <w:r w:rsidR="005A01A8" w:rsidRPr="00A83CE0">
        <w:rPr>
          <w:b/>
          <w:color w:val="000000"/>
        </w:rPr>
        <w:t>AVERTISSEMENT</w:t>
      </w:r>
      <w:r w:rsidR="007112C2">
        <w:rPr>
          <w:b/>
          <w:color w:val="000000"/>
        </w:rPr>
        <w:t xml:space="preserve"> </w:t>
      </w:r>
      <w:r w:rsidR="005A01A8" w:rsidRPr="00D8208F">
        <w:rPr>
          <w:bCs/>
          <w:color w:val="000000"/>
        </w:rPr>
        <w:t>:</w:t>
      </w:r>
      <w:r w:rsidR="005A01A8" w:rsidRPr="00A83CE0">
        <w:rPr>
          <w:b/>
          <w:color w:val="000000"/>
        </w:rPr>
        <w:t xml:space="preserve"> </w:t>
      </w:r>
      <w:r w:rsidR="005A01A8" w:rsidRPr="00A83CE0">
        <w:rPr>
          <w:color w:val="000000"/>
        </w:rPr>
        <w:t>Le</w:t>
      </w:r>
      <w:r w:rsidR="00DB2E0E">
        <w:rPr>
          <w:color w:val="000000"/>
        </w:rPr>
        <w:t xml:space="preserve"> </w:t>
      </w:r>
      <w:r w:rsidR="005A01A8" w:rsidRPr="00A83CE0">
        <w:rPr>
          <w:color w:val="000000"/>
        </w:rPr>
        <w:t xml:space="preserve">forage, sciage, sablage ou usinage </w:t>
      </w:r>
      <w:r w:rsidR="00B27986">
        <w:rPr>
          <w:color w:val="000000"/>
        </w:rPr>
        <w:t xml:space="preserve">des </w:t>
      </w:r>
      <w:r w:rsidR="00B27986" w:rsidRPr="00B27986">
        <w:rPr>
          <w:color w:val="000000"/>
        </w:rPr>
        <w:t xml:space="preserve">produits du bois </w:t>
      </w:r>
      <w:r w:rsidR="005A01A8" w:rsidRPr="00A83CE0">
        <w:rPr>
          <w:color w:val="000000"/>
        </w:rPr>
        <w:t xml:space="preserve">peuvent vous exposer à la poussière de bois, une substance </w:t>
      </w:r>
      <w:r w:rsidR="00B27986">
        <w:rPr>
          <w:color w:val="000000"/>
        </w:rPr>
        <w:t>re</w:t>
      </w:r>
      <w:r w:rsidR="005A01A8" w:rsidRPr="00A83CE0">
        <w:rPr>
          <w:color w:val="000000"/>
        </w:rPr>
        <w:t xml:space="preserve">connue </w:t>
      </w:r>
      <w:r w:rsidR="00B27986">
        <w:rPr>
          <w:color w:val="000000"/>
        </w:rPr>
        <w:t>par</w:t>
      </w:r>
      <w:r w:rsidR="005A01A8" w:rsidRPr="00A83CE0">
        <w:rPr>
          <w:color w:val="000000"/>
        </w:rPr>
        <w:t xml:space="preserve"> l’État de Californie</w:t>
      </w:r>
      <w:r w:rsidRPr="00A83CE0">
        <w:rPr>
          <w:color w:val="000000"/>
        </w:rPr>
        <w:t xml:space="preserve"> </w:t>
      </w:r>
      <w:r w:rsidR="00B27986">
        <w:rPr>
          <w:color w:val="000000"/>
        </w:rPr>
        <w:t xml:space="preserve">comme </w:t>
      </w:r>
      <w:r w:rsidRPr="00A83CE0">
        <w:rPr>
          <w:color w:val="000000"/>
        </w:rPr>
        <w:t>caus</w:t>
      </w:r>
      <w:r w:rsidR="00B27986">
        <w:rPr>
          <w:color w:val="000000"/>
        </w:rPr>
        <w:t>ant</w:t>
      </w:r>
      <w:r w:rsidRPr="00A83CE0">
        <w:rPr>
          <w:color w:val="000000"/>
        </w:rPr>
        <w:t xml:space="preserve"> le cancer. Éviter d’inhaler de la poussière de bois ou utiliser un masque à poussière ou d’autres </w:t>
      </w:r>
      <w:r w:rsidR="00D75E0C">
        <w:rPr>
          <w:color w:val="000000"/>
        </w:rPr>
        <w:t xml:space="preserve">mesures de </w:t>
      </w:r>
      <w:r w:rsidRPr="00A83CE0">
        <w:rPr>
          <w:color w:val="000000"/>
        </w:rPr>
        <w:t xml:space="preserve">protection pour la protection </w:t>
      </w:r>
      <w:r w:rsidR="004E0CAA">
        <w:rPr>
          <w:color w:val="000000"/>
        </w:rPr>
        <w:t>individue</w:t>
      </w:r>
      <w:r w:rsidR="004558D8">
        <w:rPr>
          <w:color w:val="000000"/>
        </w:rPr>
        <w:t>lle</w:t>
      </w:r>
      <w:r w:rsidRPr="00A83CE0">
        <w:rPr>
          <w:color w:val="000000"/>
        </w:rPr>
        <w:t xml:space="preserve">. </w:t>
      </w:r>
      <w:bookmarkStart w:id="1" w:name="_Hlk94443893"/>
      <w:r w:rsidRPr="00A83CE0">
        <w:rPr>
          <w:color w:val="000000"/>
        </w:rPr>
        <w:t xml:space="preserve">Pour </w:t>
      </w:r>
      <w:r w:rsidR="00D8208F">
        <w:rPr>
          <w:color w:val="000000"/>
        </w:rPr>
        <w:t xml:space="preserve">de </w:t>
      </w:r>
      <w:r w:rsidRPr="00A83CE0">
        <w:rPr>
          <w:color w:val="000000"/>
        </w:rPr>
        <w:t xml:space="preserve">plus </w:t>
      </w:r>
      <w:r w:rsidR="00D8208F">
        <w:rPr>
          <w:color w:val="000000"/>
        </w:rPr>
        <w:t>amples renseignement</w:t>
      </w:r>
      <w:r w:rsidRPr="00A83CE0">
        <w:rPr>
          <w:color w:val="000000"/>
        </w:rPr>
        <w:t>s, consultez</w:t>
      </w:r>
      <w:r w:rsidR="00D8208F">
        <w:rPr>
          <w:color w:val="000000"/>
        </w:rPr>
        <w:t xml:space="preserve"> le site</w:t>
      </w:r>
      <w:r w:rsidRPr="00A83CE0">
        <w:rPr>
          <w:color w:val="000000"/>
        </w:rPr>
        <w:t xml:space="preserve"> </w:t>
      </w:r>
      <w:hyperlink r:id="rId18">
        <w:r w:rsidRPr="00A83CE0">
          <w:rPr>
            <w:color w:val="0000FF"/>
            <w:u w:val="single" w:color="0000FF"/>
          </w:rPr>
          <w:t>www.P65Warnings.ca.gov</w:t>
        </w:r>
        <w:r w:rsidRPr="00A83CE0">
          <w:rPr>
            <w:color w:val="000000"/>
          </w:rPr>
          <w:t>.</w:t>
        </w:r>
      </w:hyperlink>
      <w:bookmarkEnd w:id="1"/>
    </w:p>
    <w:p w14:paraId="4502F9DB" w14:textId="4B3E8DAE" w:rsidR="00E829AE" w:rsidRPr="00A83CE0" w:rsidRDefault="00ED6CA8" w:rsidP="00A83CE0">
      <w:pPr>
        <w:pStyle w:val="BodyText"/>
        <w:spacing w:after="120"/>
        <w:ind w:left="292" w:right="38"/>
        <w:rPr>
          <w:bCs/>
          <w:color w:val="000000"/>
        </w:rPr>
      </w:pPr>
      <w:bookmarkStart w:id="2" w:name="OpenAt"/>
      <w:r w:rsidRPr="00A83CE0">
        <w:rPr>
          <w:noProof/>
          <w:color w:val="000000"/>
          <w:lang w:eastAsia="fr-CA"/>
        </w:rPr>
        <w:drawing>
          <wp:anchor distT="0" distB="0" distL="0" distR="0" simplePos="0" relativeHeight="251660288" behindDoc="0" locked="0" layoutInCell="1" allowOverlap="1" wp14:anchorId="075CA828" wp14:editId="496C09E4">
            <wp:simplePos x="0" y="0"/>
            <wp:positionH relativeFrom="page">
              <wp:posOffset>4324350</wp:posOffset>
            </wp:positionH>
            <wp:positionV relativeFrom="paragraph">
              <wp:posOffset>0</wp:posOffset>
            </wp:positionV>
            <wp:extent cx="247650" cy="223520"/>
            <wp:effectExtent l="0" t="0" r="0" b="5080"/>
            <wp:wrapThrough wrapText="bothSides">
              <wp:wrapPolygon edited="0">
                <wp:start x="4985" y="0"/>
                <wp:lineTo x="0" y="16568"/>
                <wp:lineTo x="0" y="20250"/>
                <wp:lineTo x="19938" y="20250"/>
                <wp:lineTo x="19938" y="16568"/>
                <wp:lineTo x="14954" y="0"/>
                <wp:lineTo x="4985" y="0"/>
              </wp:wrapPolygon>
            </wp:wrapThrough>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7" cstate="print"/>
                    <a:stretch>
                      <a:fillRect/>
                    </a:stretch>
                  </pic:blipFill>
                  <pic:spPr>
                    <a:xfrm>
                      <a:off x="0" y="0"/>
                      <a:ext cx="247650" cy="223520"/>
                    </a:xfrm>
                    <a:prstGeom prst="rect">
                      <a:avLst/>
                    </a:prstGeom>
                  </pic:spPr>
                </pic:pic>
              </a:graphicData>
            </a:graphic>
            <wp14:sizeRelH relativeFrom="margin">
              <wp14:pctWidth>0</wp14:pctWidth>
            </wp14:sizeRelH>
            <wp14:sizeRelV relativeFrom="margin">
              <wp14:pctHeight>0</wp14:pctHeight>
            </wp14:sizeRelV>
          </wp:anchor>
        </w:drawing>
      </w:r>
      <w:bookmarkEnd w:id="2"/>
      <w:r w:rsidR="005A01A8" w:rsidRPr="00A83CE0">
        <w:rPr>
          <w:b/>
          <w:color w:val="000000"/>
        </w:rPr>
        <w:t>AVERTISSEMENT</w:t>
      </w:r>
      <w:r w:rsidR="00D8208F">
        <w:rPr>
          <w:b/>
          <w:color w:val="000000"/>
        </w:rPr>
        <w:t xml:space="preserve"> </w:t>
      </w:r>
      <w:r w:rsidR="005A01A8" w:rsidRPr="00A83CE0">
        <w:rPr>
          <w:bCs/>
          <w:color w:val="000000"/>
        </w:rPr>
        <w:t xml:space="preserve">: Ce produit peut vous exposer à des produits chimiques, dont le dioxyde de titane, qui est </w:t>
      </w:r>
      <w:r w:rsidR="00D8208F">
        <w:rPr>
          <w:bCs/>
          <w:color w:val="000000"/>
        </w:rPr>
        <w:t>re</w:t>
      </w:r>
      <w:r w:rsidR="005A01A8" w:rsidRPr="00A83CE0">
        <w:rPr>
          <w:bCs/>
          <w:color w:val="000000"/>
        </w:rPr>
        <w:t xml:space="preserve">connu </w:t>
      </w:r>
      <w:r w:rsidR="00D8208F">
        <w:rPr>
          <w:bCs/>
          <w:color w:val="000000"/>
        </w:rPr>
        <w:t>par</w:t>
      </w:r>
      <w:r w:rsidR="005A01A8" w:rsidRPr="00A83CE0">
        <w:rPr>
          <w:bCs/>
          <w:color w:val="000000"/>
        </w:rPr>
        <w:t xml:space="preserve"> l’État de Californie </w:t>
      </w:r>
      <w:r w:rsidR="00D8208F">
        <w:rPr>
          <w:bCs/>
          <w:color w:val="000000"/>
        </w:rPr>
        <w:t>comme</w:t>
      </w:r>
      <w:r w:rsidR="005A01A8" w:rsidRPr="00A83CE0">
        <w:rPr>
          <w:bCs/>
          <w:color w:val="000000"/>
        </w:rPr>
        <w:t xml:space="preserve"> caus</w:t>
      </w:r>
      <w:r w:rsidR="00D8208F">
        <w:rPr>
          <w:bCs/>
          <w:color w:val="000000"/>
        </w:rPr>
        <w:t>ant le</w:t>
      </w:r>
      <w:r w:rsidR="005A01A8" w:rsidRPr="00A83CE0">
        <w:rPr>
          <w:bCs/>
          <w:color w:val="000000"/>
        </w:rPr>
        <w:t xml:space="preserve"> cancer, et le méthanol, qu</w:t>
      </w:r>
      <w:r w:rsidR="007D127E">
        <w:rPr>
          <w:bCs/>
          <w:color w:val="000000"/>
        </w:rPr>
        <w:t>i est reconnu par</w:t>
      </w:r>
      <w:r w:rsidR="005A01A8" w:rsidRPr="00A83CE0">
        <w:rPr>
          <w:bCs/>
          <w:color w:val="000000"/>
        </w:rPr>
        <w:t xml:space="preserve"> l’État de Californie co</w:t>
      </w:r>
      <w:r w:rsidR="007D127E">
        <w:rPr>
          <w:bCs/>
          <w:color w:val="000000"/>
        </w:rPr>
        <w:t>mme causant des</w:t>
      </w:r>
      <w:r w:rsidR="00E829AE" w:rsidRPr="00A83CE0">
        <w:rPr>
          <w:bCs/>
          <w:color w:val="000000"/>
        </w:rPr>
        <w:t xml:space="preserve"> malformations congénitales ou </w:t>
      </w:r>
      <w:r w:rsidR="007D127E">
        <w:rPr>
          <w:bCs/>
          <w:color w:val="000000"/>
        </w:rPr>
        <w:t>d’</w:t>
      </w:r>
      <w:r w:rsidR="00E829AE" w:rsidRPr="00A83CE0">
        <w:rPr>
          <w:bCs/>
          <w:color w:val="000000"/>
        </w:rPr>
        <w:t>autres atteintes</w:t>
      </w:r>
      <w:r w:rsidR="00567F9A">
        <w:rPr>
          <w:bCs/>
          <w:color w:val="000000"/>
        </w:rPr>
        <w:t xml:space="preserve"> au système reproductif</w:t>
      </w:r>
      <w:r w:rsidR="00E829AE" w:rsidRPr="00A83CE0">
        <w:rPr>
          <w:bCs/>
          <w:color w:val="000000"/>
        </w:rPr>
        <w:t xml:space="preserve">. </w:t>
      </w:r>
      <w:r w:rsidR="007D127E" w:rsidRPr="007D127E">
        <w:rPr>
          <w:bCs/>
          <w:color w:val="000000"/>
        </w:rPr>
        <w:t xml:space="preserve">Pour de plus amples renseignements, consultez le site </w:t>
      </w:r>
      <w:hyperlink r:id="rId19">
        <w:r w:rsidR="007D127E" w:rsidRPr="007D127E">
          <w:rPr>
            <w:rStyle w:val="Hyperlink"/>
            <w:bCs/>
          </w:rPr>
          <w:t>www.P65Warnings.ca.gov.</w:t>
        </w:r>
      </w:hyperlink>
    </w:p>
    <w:p w14:paraId="2E2D178E" w14:textId="36030DD0" w:rsidR="005A01A8" w:rsidRPr="00A83CE0" w:rsidRDefault="005A01A8" w:rsidP="00A83CE0">
      <w:pPr>
        <w:pStyle w:val="ListParagraph"/>
        <w:tabs>
          <w:tab w:val="left" w:pos="652"/>
        </w:tabs>
        <w:spacing w:after="120"/>
        <w:ind w:right="40"/>
        <w:rPr>
          <w:bCs/>
          <w:color w:val="000000"/>
          <w:sz w:val="12"/>
          <w:szCs w:val="12"/>
        </w:rPr>
      </w:pPr>
      <w:r w:rsidRPr="00A83CE0">
        <w:rPr>
          <w:bCs/>
          <w:color w:val="000000"/>
          <w:sz w:val="12"/>
          <w:szCs w:val="12"/>
        </w:rPr>
        <w:t xml:space="preserve">Le </w:t>
      </w:r>
      <w:r w:rsidR="003F3FC3">
        <w:rPr>
          <w:bCs/>
          <w:color w:val="000000"/>
          <w:sz w:val="12"/>
          <w:szCs w:val="12"/>
        </w:rPr>
        <w:t>Client</w:t>
      </w:r>
      <w:r w:rsidRPr="00A83CE0">
        <w:rPr>
          <w:bCs/>
          <w:color w:val="000000"/>
          <w:sz w:val="12"/>
          <w:szCs w:val="12"/>
        </w:rPr>
        <w:t xml:space="preserve"> fournira cet avertissement conformément aux exigences de la proposition </w:t>
      </w:r>
      <w:r w:rsidR="00A260C7">
        <w:rPr>
          <w:bCs/>
          <w:color w:val="000000"/>
          <w:sz w:val="12"/>
          <w:szCs w:val="12"/>
        </w:rPr>
        <w:t>65 de la C</w:t>
      </w:r>
      <w:r w:rsidRPr="00A83CE0">
        <w:rPr>
          <w:bCs/>
          <w:color w:val="000000"/>
          <w:sz w:val="12"/>
          <w:szCs w:val="12"/>
        </w:rPr>
        <w:t>alifornie et</w:t>
      </w:r>
      <w:r w:rsidR="00814849">
        <w:rPr>
          <w:bCs/>
          <w:color w:val="000000"/>
          <w:sz w:val="12"/>
          <w:szCs w:val="12"/>
        </w:rPr>
        <w:t xml:space="preserve"> </w:t>
      </w:r>
      <w:r w:rsidRPr="00A83CE0">
        <w:rPr>
          <w:bCs/>
          <w:color w:val="000000"/>
          <w:sz w:val="12"/>
          <w:szCs w:val="12"/>
        </w:rPr>
        <w:t xml:space="preserve">: a) dans le cas de ventes en magasin, </w:t>
      </w:r>
      <w:r w:rsidR="00814849">
        <w:rPr>
          <w:bCs/>
          <w:color w:val="000000"/>
          <w:sz w:val="12"/>
          <w:szCs w:val="12"/>
        </w:rPr>
        <w:t xml:space="preserve">les </w:t>
      </w:r>
      <w:r w:rsidRPr="00A83CE0">
        <w:rPr>
          <w:bCs/>
          <w:color w:val="000000"/>
          <w:sz w:val="12"/>
          <w:szCs w:val="12"/>
        </w:rPr>
        <w:t>affich</w:t>
      </w:r>
      <w:r w:rsidR="00814849">
        <w:rPr>
          <w:bCs/>
          <w:color w:val="000000"/>
          <w:sz w:val="12"/>
          <w:szCs w:val="12"/>
        </w:rPr>
        <w:t>era</w:t>
      </w:r>
      <w:r w:rsidRPr="00A83CE0">
        <w:rPr>
          <w:bCs/>
          <w:color w:val="000000"/>
          <w:sz w:val="12"/>
          <w:szCs w:val="12"/>
        </w:rPr>
        <w:t xml:space="preserve"> au point de vente ou à l’</w:t>
      </w:r>
      <w:r w:rsidR="00D71A56">
        <w:rPr>
          <w:bCs/>
          <w:color w:val="000000"/>
          <w:sz w:val="12"/>
          <w:szCs w:val="12"/>
        </w:rPr>
        <w:t>étalage</w:t>
      </w:r>
      <w:r w:rsidRPr="00A83CE0">
        <w:rPr>
          <w:bCs/>
          <w:color w:val="000000"/>
          <w:sz w:val="12"/>
          <w:szCs w:val="12"/>
        </w:rPr>
        <w:t xml:space="preserve"> du produit de </w:t>
      </w:r>
      <w:r w:rsidR="0025578D">
        <w:rPr>
          <w:bCs/>
          <w:color w:val="000000"/>
          <w:sz w:val="12"/>
          <w:szCs w:val="12"/>
        </w:rPr>
        <w:t xml:space="preserve">bois d’œuvre </w:t>
      </w:r>
      <w:r w:rsidRPr="00A83CE0">
        <w:rPr>
          <w:bCs/>
          <w:color w:val="000000"/>
          <w:sz w:val="12"/>
          <w:szCs w:val="12"/>
        </w:rPr>
        <w:t xml:space="preserve">d’une manière susceptible d’être vue par les acheteurs, dans un avis d’au moins 8 ½ po sur 11 po et imprimé dans un type </w:t>
      </w:r>
      <w:r w:rsidR="0080433D">
        <w:rPr>
          <w:bCs/>
          <w:color w:val="000000"/>
          <w:sz w:val="12"/>
          <w:szCs w:val="12"/>
        </w:rPr>
        <w:t xml:space="preserve">de format </w:t>
      </w:r>
      <w:r w:rsidRPr="00A83CE0">
        <w:rPr>
          <w:bCs/>
          <w:color w:val="000000"/>
          <w:sz w:val="12"/>
          <w:szCs w:val="12"/>
        </w:rPr>
        <w:t xml:space="preserve">d’au moins 20 points; ou b) </w:t>
      </w:r>
      <w:r w:rsidR="0080433D">
        <w:rPr>
          <w:bCs/>
          <w:color w:val="000000"/>
          <w:sz w:val="12"/>
          <w:szCs w:val="12"/>
        </w:rPr>
        <w:t>dans le cas des</w:t>
      </w:r>
      <w:r w:rsidRPr="00A83CE0">
        <w:rPr>
          <w:bCs/>
          <w:color w:val="000000"/>
          <w:sz w:val="12"/>
          <w:szCs w:val="12"/>
        </w:rPr>
        <w:t xml:space="preserve"> ventes en ligne</w:t>
      </w:r>
      <w:r w:rsidR="0080433D">
        <w:rPr>
          <w:bCs/>
          <w:color w:val="000000"/>
          <w:sz w:val="12"/>
          <w:szCs w:val="12"/>
        </w:rPr>
        <w:t xml:space="preserve"> </w:t>
      </w:r>
      <w:r w:rsidRPr="00A83CE0">
        <w:rPr>
          <w:bCs/>
          <w:color w:val="000000"/>
          <w:sz w:val="12"/>
          <w:szCs w:val="12"/>
        </w:rPr>
        <w:t xml:space="preserve">: i) </w:t>
      </w:r>
      <w:r w:rsidR="006A2828">
        <w:rPr>
          <w:bCs/>
          <w:color w:val="000000"/>
          <w:sz w:val="12"/>
          <w:szCs w:val="12"/>
        </w:rPr>
        <w:t xml:space="preserve">les </w:t>
      </w:r>
      <w:r w:rsidRPr="00A83CE0">
        <w:rPr>
          <w:bCs/>
          <w:color w:val="000000"/>
          <w:sz w:val="12"/>
          <w:szCs w:val="12"/>
        </w:rPr>
        <w:t>fourni</w:t>
      </w:r>
      <w:r w:rsidR="006A2828">
        <w:rPr>
          <w:bCs/>
          <w:color w:val="000000"/>
          <w:sz w:val="12"/>
          <w:szCs w:val="12"/>
        </w:rPr>
        <w:t>ra</w:t>
      </w:r>
      <w:r w:rsidRPr="00A83CE0">
        <w:rPr>
          <w:bCs/>
          <w:color w:val="000000"/>
          <w:sz w:val="12"/>
          <w:szCs w:val="12"/>
        </w:rPr>
        <w:t xml:space="preserve"> sur la page d’affichage du produit ou par un hyperlien clairement marqué à l’aide du mot « </w:t>
      </w:r>
      <w:r w:rsidR="006A2828">
        <w:rPr>
          <w:bCs/>
          <w:color w:val="000000"/>
          <w:sz w:val="12"/>
          <w:szCs w:val="12"/>
        </w:rPr>
        <w:t>AVERTISSEMENT</w:t>
      </w:r>
      <w:r w:rsidRPr="00A83CE0">
        <w:rPr>
          <w:bCs/>
          <w:color w:val="000000"/>
          <w:sz w:val="12"/>
          <w:szCs w:val="12"/>
        </w:rPr>
        <w:t xml:space="preserve"> » sur la page d’affichage du produit; et ii) </w:t>
      </w:r>
      <w:r w:rsidR="00BE51C2">
        <w:rPr>
          <w:bCs/>
          <w:color w:val="000000"/>
          <w:sz w:val="12"/>
          <w:szCs w:val="12"/>
        </w:rPr>
        <w:t xml:space="preserve">les </w:t>
      </w:r>
      <w:r w:rsidRPr="00A83CE0">
        <w:rPr>
          <w:bCs/>
          <w:color w:val="000000"/>
          <w:sz w:val="12"/>
          <w:szCs w:val="12"/>
        </w:rPr>
        <w:t>inscri</w:t>
      </w:r>
      <w:r w:rsidR="00BE51C2">
        <w:rPr>
          <w:bCs/>
          <w:color w:val="000000"/>
          <w:sz w:val="12"/>
          <w:szCs w:val="12"/>
        </w:rPr>
        <w:t>ra</w:t>
      </w:r>
      <w:r w:rsidRPr="00A83CE0">
        <w:rPr>
          <w:bCs/>
          <w:color w:val="000000"/>
          <w:sz w:val="12"/>
          <w:szCs w:val="12"/>
        </w:rPr>
        <w:t xml:space="preserve"> sur l’étiquette du produit</w:t>
      </w:r>
      <w:r w:rsidR="00BE51C2">
        <w:rPr>
          <w:bCs/>
          <w:color w:val="000000"/>
          <w:sz w:val="12"/>
          <w:szCs w:val="12"/>
        </w:rPr>
        <w:t xml:space="preserve"> ou </w:t>
      </w:r>
      <w:r w:rsidRPr="00A83CE0">
        <w:rPr>
          <w:bCs/>
          <w:color w:val="000000"/>
          <w:sz w:val="12"/>
          <w:szCs w:val="12"/>
        </w:rPr>
        <w:t xml:space="preserve">par une </w:t>
      </w:r>
      <w:r w:rsidR="00E578C9">
        <w:rPr>
          <w:bCs/>
          <w:color w:val="000000"/>
          <w:sz w:val="12"/>
          <w:szCs w:val="12"/>
        </w:rPr>
        <w:t>fenêtre contextuelle</w:t>
      </w:r>
      <w:r w:rsidRPr="00A83CE0">
        <w:rPr>
          <w:bCs/>
          <w:color w:val="000000"/>
          <w:sz w:val="12"/>
          <w:szCs w:val="12"/>
        </w:rPr>
        <w:t xml:space="preserve"> automatique à l’ac</w:t>
      </w:r>
      <w:r w:rsidR="00BE51C2">
        <w:rPr>
          <w:bCs/>
          <w:color w:val="000000"/>
          <w:sz w:val="12"/>
          <w:szCs w:val="12"/>
        </w:rPr>
        <w:t>het</w:t>
      </w:r>
      <w:r w:rsidRPr="00A83CE0">
        <w:rPr>
          <w:bCs/>
          <w:color w:val="000000"/>
          <w:sz w:val="12"/>
          <w:szCs w:val="12"/>
        </w:rPr>
        <w:t>eur avant la réalisation de l’achat.</w:t>
      </w:r>
    </w:p>
    <w:p w14:paraId="3BC9C356" w14:textId="56712B15" w:rsidR="005A01A8" w:rsidRPr="00A83CE0" w:rsidRDefault="0047104E" w:rsidP="00A83CE0">
      <w:pPr>
        <w:pStyle w:val="ListParagraph"/>
        <w:numPr>
          <w:ilvl w:val="0"/>
          <w:numId w:val="2"/>
        </w:numPr>
        <w:tabs>
          <w:tab w:val="left" w:pos="652"/>
        </w:tabs>
        <w:spacing w:after="120"/>
        <w:ind w:right="40"/>
        <w:rPr>
          <w:bCs/>
          <w:color w:val="000000"/>
          <w:sz w:val="12"/>
          <w:szCs w:val="12"/>
        </w:rPr>
      </w:pPr>
      <w:r w:rsidRPr="0047104E">
        <w:rPr>
          <w:b/>
          <w:color w:val="000000"/>
          <w:sz w:val="12"/>
          <w:szCs w:val="12"/>
        </w:rPr>
        <w:t>SÛRETÉ</w:t>
      </w:r>
      <w:r>
        <w:rPr>
          <w:bCs/>
          <w:color w:val="000000"/>
          <w:sz w:val="12"/>
          <w:szCs w:val="12"/>
        </w:rPr>
        <w:t>.</w:t>
      </w:r>
      <w:r w:rsidR="005A01A8" w:rsidRPr="00A83CE0">
        <w:rPr>
          <w:bCs/>
          <w:color w:val="000000"/>
          <w:sz w:val="12"/>
          <w:szCs w:val="12"/>
        </w:rPr>
        <w:t xml:space="preserve"> Toutes les modalités de paiement du </w:t>
      </w:r>
      <w:r w:rsidR="0079793D">
        <w:rPr>
          <w:bCs/>
          <w:color w:val="000000"/>
          <w:sz w:val="12"/>
          <w:szCs w:val="12"/>
        </w:rPr>
        <w:t xml:space="preserve">Contrat de vente </w:t>
      </w:r>
      <w:r w:rsidR="005A01A8" w:rsidRPr="00A83CE0">
        <w:rPr>
          <w:bCs/>
          <w:color w:val="000000"/>
          <w:sz w:val="12"/>
          <w:szCs w:val="12"/>
        </w:rPr>
        <w:t xml:space="preserve">sont assujetties à l’approbation du crédit et peuvent être modifiées par Interfor sans préavis au </w:t>
      </w:r>
      <w:r w:rsidR="003F3FC3">
        <w:rPr>
          <w:bCs/>
          <w:color w:val="000000"/>
          <w:sz w:val="12"/>
          <w:szCs w:val="12"/>
        </w:rPr>
        <w:t>Client</w:t>
      </w:r>
      <w:r w:rsidR="005A01A8" w:rsidRPr="00A83CE0">
        <w:rPr>
          <w:bCs/>
          <w:color w:val="000000"/>
          <w:sz w:val="12"/>
          <w:szCs w:val="12"/>
        </w:rPr>
        <w:t xml:space="preserve">. Tout paiement </w:t>
      </w:r>
      <w:r w:rsidR="006C0393">
        <w:rPr>
          <w:bCs/>
          <w:color w:val="000000"/>
          <w:sz w:val="12"/>
          <w:szCs w:val="12"/>
        </w:rPr>
        <w:t xml:space="preserve">d’un compte </w:t>
      </w:r>
      <w:r w:rsidR="005A01A8" w:rsidRPr="00A83CE0">
        <w:rPr>
          <w:bCs/>
          <w:color w:val="000000"/>
          <w:sz w:val="12"/>
          <w:szCs w:val="12"/>
        </w:rPr>
        <w:t>en souffrance p</w:t>
      </w:r>
      <w:r w:rsidR="000857CA">
        <w:rPr>
          <w:bCs/>
          <w:color w:val="000000"/>
          <w:sz w:val="12"/>
          <w:szCs w:val="12"/>
        </w:rPr>
        <w:t xml:space="preserve">orte </w:t>
      </w:r>
      <w:r w:rsidR="005A01A8" w:rsidRPr="00A83CE0">
        <w:rPr>
          <w:bCs/>
          <w:color w:val="000000"/>
          <w:sz w:val="12"/>
          <w:szCs w:val="12"/>
        </w:rPr>
        <w:t xml:space="preserve">intérêt au taux correspondant au moindre </w:t>
      </w:r>
      <w:r w:rsidR="004B776E">
        <w:rPr>
          <w:bCs/>
          <w:color w:val="000000"/>
          <w:sz w:val="12"/>
          <w:szCs w:val="12"/>
        </w:rPr>
        <w:t>entre</w:t>
      </w:r>
      <w:r w:rsidR="005A01A8" w:rsidRPr="00A83CE0">
        <w:rPr>
          <w:bCs/>
          <w:color w:val="000000"/>
          <w:sz w:val="12"/>
          <w:szCs w:val="12"/>
        </w:rPr>
        <w:t xml:space="preserve"> dix-huit pour cent (18 %) par année</w:t>
      </w:r>
      <w:r w:rsidR="005C6F79">
        <w:rPr>
          <w:bCs/>
          <w:color w:val="000000"/>
          <w:sz w:val="12"/>
          <w:szCs w:val="12"/>
        </w:rPr>
        <w:t xml:space="preserve"> et le</w:t>
      </w:r>
      <w:r w:rsidR="005A01A8" w:rsidRPr="00A83CE0">
        <w:rPr>
          <w:bCs/>
          <w:color w:val="000000"/>
          <w:sz w:val="12"/>
          <w:szCs w:val="12"/>
        </w:rPr>
        <w:t xml:space="preserve"> taux maximum autorisé par la législation applicable, à </w:t>
      </w:r>
      <w:r w:rsidR="005C6F79">
        <w:rPr>
          <w:bCs/>
          <w:color w:val="000000"/>
          <w:sz w:val="12"/>
          <w:szCs w:val="12"/>
        </w:rPr>
        <w:t>parti</w:t>
      </w:r>
      <w:r w:rsidR="005A01A8" w:rsidRPr="00A83CE0">
        <w:rPr>
          <w:bCs/>
          <w:color w:val="000000"/>
          <w:sz w:val="12"/>
          <w:szCs w:val="12"/>
        </w:rPr>
        <w:t>r de la date d’échéance du paiement jusqu’à ce qu’il soit entièrement payé. Interfor peut retenir</w:t>
      </w:r>
      <w:r w:rsidR="00EC5A5E">
        <w:rPr>
          <w:bCs/>
          <w:color w:val="000000"/>
          <w:sz w:val="12"/>
          <w:szCs w:val="12"/>
        </w:rPr>
        <w:t xml:space="preserve"> </w:t>
      </w:r>
      <w:r w:rsidR="005A01A8" w:rsidRPr="00A83CE0">
        <w:rPr>
          <w:bCs/>
          <w:color w:val="000000"/>
          <w:sz w:val="12"/>
          <w:szCs w:val="12"/>
        </w:rPr>
        <w:t>ou</w:t>
      </w:r>
      <w:r w:rsidR="00FD73BC">
        <w:rPr>
          <w:bCs/>
          <w:color w:val="000000"/>
          <w:sz w:val="12"/>
          <w:szCs w:val="12"/>
        </w:rPr>
        <w:t xml:space="preserve"> compenser </w:t>
      </w:r>
      <w:r w:rsidR="00EC5A5E">
        <w:rPr>
          <w:bCs/>
          <w:color w:val="000000"/>
          <w:sz w:val="12"/>
          <w:szCs w:val="12"/>
        </w:rPr>
        <w:t>les</w:t>
      </w:r>
      <w:r w:rsidR="00C0569B">
        <w:rPr>
          <w:bCs/>
          <w:color w:val="000000"/>
          <w:sz w:val="12"/>
          <w:szCs w:val="12"/>
        </w:rPr>
        <w:t xml:space="preserve"> montants</w:t>
      </w:r>
      <w:r w:rsidR="005A01A8" w:rsidRPr="00A83CE0">
        <w:rPr>
          <w:bCs/>
          <w:color w:val="000000"/>
          <w:sz w:val="12"/>
          <w:szCs w:val="12"/>
        </w:rPr>
        <w:t xml:space="preserve"> dus par Interfor au </w:t>
      </w:r>
      <w:r w:rsidR="003F3FC3">
        <w:rPr>
          <w:bCs/>
          <w:color w:val="000000"/>
          <w:sz w:val="12"/>
          <w:szCs w:val="12"/>
        </w:rPr>
        <w:t>Client</w:t>
      </w:r>
      <w:r w:rsidR="005A01A8" w:rsidRPr="00A83CE0">
        <w:rPr>
          <w:bCs/>
          <w:color w:val="000000"/>
          <w:sz w:val="12"/>
          <w:szCs w:val="12"/>
        </w:rPr>
        <w:t xml:space="preserve"> aux termes de quelque entente entre le </w:t>
      </w:r>
      <w:r w:rsidR="003F3FC3">
        <w:rPr>
          <w:bCs/>
          <w:color w:val="000000"/>
          <w:sz w:val="12"/>
          <w:szCs w:val="12"/>
        </w:rPr>
        <w:t>Client</w:t>
      </w:r>
      <w:r w:rsidR="005A01A8" w:rsidRPr="00A83CE0">
        <w:rPr>
          <w:bCs/>
          <w:color w:val="000000"/>
          <w:sz w:val="12"/>
          <w:szCs w:val="12"/>
        </w:rPr>
        <w:t xml:space="preserve"> et Interfor </w:t>
      </w:r>
      <w:r w:rsidR="00FD73BC">
        <w:rPr>
          <w:bCs/>
          <w:color w:val="000000"/>
          <w:sz w:val="12"/>
          <w:szCs w:val="12"/>
        </w:rPr>
        <w:t>à l’en</w:t>
      </w:r>
      <w:r w:rsidR="005A01A8" w:rsidRPr="00A83CE0">
        <w:rPr>
          <w:bCs/>
          <w:color w:val="000000"/>
          <w:sz w:val="12"/>
          <w:szCs w:val="12"/>
        </w:rPr>
        <w:t xml:space="preserve">contre </w:t>
      </w:r>
      <w:r w:rsidR="00FD73BC">
        <w:rPr>
          <w:bCs/>
          <w:color w:val="000000"/>
          <w:sz w:val="12"/>
          <w:szCs w:val="12"/>
        </w:rPr>
        <w:t>d</w:t>
      </w:r>
      <w:r w:rsidR="005A01A8" w:rsidRPr="00A83CE0">
        <w:rPr>
          <w:bCs/>
          <w:color w:val="000000"/>
          <w:sz w:val="12"/>
          <w:szCs w:val="12"/>
        </w:rPr>
        <w:t xml:space="preserve">es </w:t>
      </w:r>
      <w:r w:rsidR="008033A1">
        <w:rPr>
          <w:bCs/>
          <w:color w:val="000000"/>
          <w:sz w:val="12"/>
          <w:szCs w:val="12"/>
        </w:rPr>
        <w:t>montants</w:t>
      </w:r>
      <w:r w:rsidR="005A01A8" w:rsidRPr="00A83CE0">
        <w:rPr>
          <w:bCs/>
          <w:color w:val="000000"/>
          <w:sz w:val="12"/>
          <w:szCs w:val="12"/>
        </w:rPr>
        <w:t xml:space="preserve"> dus par le </w:t>
      </w:r>
      <w:r w:rsidR="003F3FC3">
        <w:rPr>
          <w:bCs/>
          <w:color w:val="000000"/>
          <w:sz w:val="12"/>
          <w:szCs w:val="12"/>
        </w:rPr>
        <w:t>Client</w:t>
      </w:r>
      <w:r w:rsidR="005A01A8" w:rsidRPr="00A83CE0">
        <w:rPr>
          <w:bCs/>
          <w:color w:val="000000"/>
          <w:sz w:val="12"/>
          <w:szCs w:val="12"/>
        </w:rPr>
        <w:t xml:space="preserve"> à Interfor. En garantie du paiement en bonne et due forme </w:t>
      </w:r>
      <w:r w:rsidR="00F54569">
        <w:rPr>
          <w:bCs/>
          <w:color w:val="000000"/>
          <w:sz w:val="12"/>
          <w:szCs w:val="12"/>
        </w:rPr>
        <w:t xml:space="preserve">et en temps voulu </w:t>
      </w:r>
      <w:r w:rsidR="005A01A8" w:rsidRPr="00A83CE0">
        <w:rPr>
          <w:bCs/>
          <w:color w:val="000000"/>
          <w:sz w:val="12"/>
          <w:szCs w:val="12"/>
        </w:rPr>
        <w:t xml:space="preserve">de toute facture et de tout autre montant payable par le </w:t>
      </w:r>
      <w:r w:rsidR="003F3FC3">
        <w:rPr>
          <w:bCs/>
          <w:color w:val="000000"/>
          <w:sz w:val="12"/>
          <w:szCs w:val="12"/>
        </w:rPr>
        <w:t>Client</w:t>
      </w:r>
      <w:r w:rsidR="005A01A8" w:rsidRPr="00A83CE0">
        <w:rPr>
          <w:bCs/>
          <w:color w:val="000000"/>
          <w:sz w:val="12"/>
          <w:szCs w:val="12"/>
        </w:rPr>
        <w:t xml:space="preserve"> aux termes de la </w:t>
      </w:r>
      <w:r w:rsidR="00292D2B">
        <w:rPr>
          <w:bCs/>
          <w:color w:val="000000"/>
          <w:sz w:val="12"/>
          <w:szCs w:val="12"/>
        </w:rPr>
        <w:t>Convention</w:t>
      </w:r>
      <w:r w:rsidR="005A01A8" w:rsidRPr="00A83CE0">
        <w:rPr>
          <w:bCs/>
          <w:color w:val="000000"/>
          <w:sz w:val="12"/>
          <w:szCs w:val="12"/>
        </w:rPr>
        <w:t xml:space="preserve">, le </w:t>
      </w:r>
      <w:r w:rsidR="003F3FC3">
        <w:rPr>
          <w:bCs/>
          <w:color w:val="000000"/>
          <w:sz w:val="12"/>
          <w:szCs w:val="12"/>
        </w:rPr>
        <w:t>Client</w:t>
      </w:r>
      <w:r w:rsidR="005A01A8" w:rsidRPr="00A83CE0">
        <w:rPr>
          <w:bCs/>
          <w:color w:val="000000"/>
          <w:sz w:val="12"/>
          <w:szCs w:val="12"/>
        </w:rPr>
        <w:t xml:space="preserve"> accorde par les présentes à Interfor une sûreté sur les </w:t>
      </w:r>
      <w:r w:rsidR="0079793D">
        <w:rPr>
          <w:bCs/>
          <w:color w:val="000000"/>
          <w:sz w:val="12"/>
          <w:szCs w:val="12"/>
        </w:rPr>
        <w:t xml:space="preserve">Produits de bois d’œuvre </w:t>
      </w:r>
      <w:r w:rsidR="005A01A8" w:rsidRPr="00A83CE0">
        <w:rPr>
          <w:bCs/>
          <w:color w:val="000000"/>
          <w:sz w:val="12"/>
          <w:szCs w:val="12"/>
        </w:rPr>
        <w:t xml:space="preserve">et la totalité du produit de leur vente, au sens </w:t>
      </w:r>
      <w:r w:rsidR="001262C7" w:rsidRPr="001262C7">
        <w:rPr>
          <w:bCs/>
          <w:color w:val="000000"/>
          <w:sz w:val="12"/>
          <w:szCs w:val="12"/>
        </w:rPr>
        <w:t xml:space="preserve">de la </w:t>
      </w:r>
      <w:proofErr w:type="spellStart"/>
      <w:r w:rsidR="001262C7" w:rsidRPr="000360D0">
        <w:rPr>
          <w:bCs/>
          <w:i/>
          <w:iCs/>
          <w:color w:val="000000"/>
          <w:sz w:val="12"/>
          <w:szCs w:val="12"/>
        </w:rPr>
        <w:t>Personal</w:t>
      </w:r>
      <w:proofErr w:type="spellEnd"/>
      <w:r w:rsidR="001262C7" w:rsidRPr="000360D0">
        <w:rPr>
          <w:bCs/>
          <w:i/>
          <w:iCs/>
          <w:color w:val="000000"/>
          <w:sz w:val="12"/>
          <w:szCs w:val="12"/>
        </w:rPr>
        <w:t xml:space="preserve"> </w:t>
      </w:r>
      <w:proofErr w:type="spellStart"/>
      <w:r w:rsidR="001262C7" w:rsidRPr="000360D0">
        <w:rPr>
          <w:bCs/>
          <w:i/>
          <w:iCs/>
          <w:color w:val="000000"/>
          <w:sz w:val="12"/>
          <w:szCs w:val="12"/>
        </w:rPr>
        <w:t>Property</w:t>
      </w:r>
      <w:proofErr w:type="spellEnd"/>
      <w:r w:rsidR="001262C7" w:rsidRPr="000360D0">
        <w:rPr>
          <w:bCs/>
          <w:i/>
          <w:iCs/>
          <w:color w:val="000000"/>
          <w:sz w:val="12"/>
          <w:szCs w:val="12"/>
        </w:rPr>
        <w:t xml:space="preserve"> Security </w:t>
      </w:r>
      <w:proofErr w:type="spellStart"/>
      <w:r w:rsidR="001262C7" w:rsidRPr="000360D0">
        <w:rPr>
          <w:bCs/>
          <w:i/>
          <w:iCs/>
          <w:color w:val="000000"/>
          <w:sz w:val="12"/>
          <w:szCs w:val="12"/>
        </w:rPr>
        <w:t>Act</w:t>
      </w:r>
      <w:proofErr w:type="spellEnd"/>
      <w:r w:rsidR="000360D0" w:rsidRPr="000360D0">
        <w:rPr>
          <w:bCs/>
          <w:i/>
          <w:iCs/>
          <w:color w:val="000000"/>
          <w:sz w:val="12"/>
          <w:szCs w:val="12"/>
        </w:rPr>
        <w:t xml:space="preserve">, </w:t>
      </w:r>
      <w:r w:rsidR="000360D0" w:rsidRPr="000360D0">
        <w:rPr>
          <w:bCs/>
          <w:color w:val="000000"/>
          <w:sz w:val="12"/>
          <w:szCs w:val="12"/>
        </w:rPr>
        <w:t>d</w:t>
      </w:r>
      <w:r w:rsidR="00D00601" w:rsidRPr="000360D0">
        <w:rPr>
          <w:bCs/>
          <w:color w:val="000000"/>
          <w:sz w:val="12"/>
          <w:szCs w:val="12"/>
        </w:rPr>
        <w:t>e</w:t>
      </w:r>
      <w:r w:rsidR="00E74830" w:rsidRPr="000360D0">
        <w:rPr>
          <w:bCs/>
          <w:color w:val="000000"/>
          <w:sz w:val="12"/>
          <w:szCs w:val="12"/>
        </w:rPr>
        <w:t xml:space="preserve"> </w:t>
      </w:r>
      <w:r w:rsidR="006C0393">
        <w:rPr>
          <w:bCs/>
          <w:color w:val="000000"/>
          <w:sz w:val="12"/>
          <w:szCs w:val="12"/>
        </w:rPr>
        <w:t xml:space="preserve">l’Article 9 du </w:t>
      </w:r>
      <w:r w:rsidR="000360D0" w:rsidRPr="000360D0">
        <w:rPr>
          <w:bCs/>
          <w:i/>
          <w:iCs/>
          <w:color w:val="000000"/>
          <w:sz w:val="12"/>
          <w:szCs w:val="12"/>
        </w:rPr>
        <w:t>Uniform Commercial Code</w:t>
      </w:r>
      <w:r w:rsidR="00FF73CB">
        <w:rPr>
          <w:bCs/>
          <w:i/>
          <w:iCs/>
          <w:color w:val="000000"/>
          <w:sz w:val="12"/>
          <w:szCs w:val="12"/>
        </w:rPr>
        <w:t xml:space="preserve"> </w:t>
      </w:r>
      <w:r w:rsidR="005A01A8" w:rsidRPr="000360D0">
        <w:rPr>
          <w:bCs/>
          <w:color w:val="000000"/>
          <w:sz w:val="12"/>
          <w:szCs w:val="12"/>
        </w:rPr>
        <w:t xml:space="preserve">(ou de toute législation équivalente du territoire où le </w:t>
      </w:r>
      <w:r w:rsidR="003F3FC3" w:rsidRPr="000360D0">
        <w:rPr>
          <w:bCs/>
          <w:color w:val="000000"/>
          <w:sz w:val="12"/>
          <w:szCs w:val="12"/>
        </w:rPr>
        <w:t>Client</w:t>
      </w:r>
      <w:r w:rsidR="005A01A8" w:rsidRPr="000360D0">
        <w:rPr>
          <w:bCs/>
          <w:color w:val="000000"/>
          <w:sz w:val="12"/>
          <w:szCs w:val="12"/>
        </w:rPr>
        <w:t xml:space="preserve"> est situé</w:t>
      </w:r>
      <w:r w:rsidR="006C0393">
        <w:rPr>
          <w:bCs/>
          <w:color w:val="000000"/>
          <w:sz w:val="12"/>
          <w:szCs w:val="12"/>
        </w:rPr>
        <w:t xml:space="preserve">, incluant mais sans s’y limiter le </w:t>
      </w:r>
      <w:r w:rsidR="006C0393" w:rsidRPr="006C0393">
        <w:rPr>
          <w:bCs/>
          <w:i/>
          <w:iCs/>
          <w:color w:val="000000"/>
          <w:sz w:val="12"/>
          <w:szCs w:val="12"/>
        </w:rPr>
        <w:t>Code Civil du Québec</w:t>
      </w:r>
      <w:r w:rsidR="007C22ED">
        <w:rPr>
          <w:bCs/>
          <w:color w:val="000000"/>
          <w:sz w:val="12"/>
          <w:szCs w:val="12"/>
        </w:rPr>
        <w:t>)</w:t>
      </w:r>
      <w:r w:rsidR="005A01A8" w:rsidRPr="000360D0">
        <w:rPr>
          <w:bCs/>
          <w:color w:val="000000"/>
          <w:sz w:val="12"/>
          <w:szCs w:val="12"/>
        </w:rPr>
        <w:t xml:space="preserve"> (collectivement, les « </w:t>
      </w:r>
      <w:r w:rsidR="00440A57" w:rsidRPr="000360D0">
        <w:rPr>
          <w:b/>
          <w:color w:val="000000"/>
          <w:sz w:val="12"/>
          <w:szCs w:val="12"/>
        </w:rPr>
        <w:t xml:space="preserve">Biens grevés </w:t>
      </w:r>
      <w:r w:rsidR="005A01A8" w:rsidRPr="000360D0">
        <w:rPr>
          <w:bCs/>
          <w:color w:val="000000"/>
          <w:sz w:val="12"/>
          <w:szCs w:val="12"/>
        </w:rPr>
        <w:t>»).</w:t>
      </w:r>
      <w:r w:rsidR="005A01A8" w:rsidRPr="00A83CE0">
        <w:rPr>
          <w:bCs/>
          <w:color w:val="000000"/>
          <w:sz w:val="12"/>
          <w:szCs w:val="12"/>
        </w:rPr>
        <w:t xml:space="preserve"> Le </w:t>
      </w:r>
      <w:r w:rsidR="003F3FC3">
        <w:rPr>
          <w:bCs/>
          <w:color w:val="000000"/>
          <w:sz w:val="12"/>
          <w:szCs w:val="12"/>
        </w:rPr>
        <w:t>Client</w:t>
      </w:r>
      <w:r w:rsidR="005A01A8" w:rsidRPr="00A83CE0">
        <w:rPr>
          <w:bCs/>
          <w:color w:val="000000"/>
          <w:sz w:val="12"/>
          <w:szCs w:val="12"/>
        </w:rPr>
        <w:t xml:space="preserve"> reconnaît et convient que la sûreté c</w:t>
      </w:r>
      <w:r w:rsidR="001D3072">
        <w:rPr>
          <w:bCs/>
          <w:color w:val="000000"/>
          <w:sz w:val="12"/>
          <w:szCs w:val="12"/>
        </w:rPr>
        <w:t>r</w:t>
      </w:r>
      <w:r w:rsidR="005A01A8" w:rsidRPr="00A83CE0">
        <w:rPr>
          <w:bCs/>
          <w:color w:val="000000"/>
          <w:sz w:val="12"/>
          <w:szCs w:val="12"/>
        </w:rPr>
        <w:t>é</w:t>
      </w:r>
      <w:r w:rsidR="001D3072">
        <w:rPr>
          <w:bCs/>
          <w:color w:val="000000"/>
          <w:sz w:val="12"/>
          <w:szCs w:val="12"/>
        </w:rPr>
        <w:t>é</w:t>
      </w:r>
      <w:r w:rsidR="005A01A8" w:rsidRPr="00A83CE0">
        <w:rPr>
          <w:bCs/>
          <w:color w:val="000000"/>
          <w:sz w:val="12"/>
          <w:szCs w:val="12"/>
        </w:rPr>
        <w:t xml:space="preserve">e par les présentes constitue et vise à créer une sûreté en garantie du </w:t>
      </w:r>
      <w:r w:rsidR="003F3FC3">
        <w:rPr>
          <w:bCs/>
          <w:color w:val="000000"/>
          <w:sz w:val="12"/>
          <w:szCs w:val="12"/>
        </w:rPr>
        <w:t>Prix</w:t>
      </w:r>
      <w:r w:rsidR="005A01A8" w:rsidRPr="00A83CE0">
        <w:rPr>
          <w:bCs/>
          <w:color w:val="000000"/>
          <w:sz w:val="12"/>
          <w:szCs w:val="12"/>
        </w:rPr>
        <w:t xml:space="preserve"> d’acquisition sur l</w:t>
      </w:r>
      <w:r w:rsidR="001D3072">
        <w:rPr>
          <w:bCs/>
          <w:color w:val="000000"/>
          <w:sz w:val="12"/>
          <w:szCs w:val="12"/>
        </w:rPr>
        <w:t xml:space="preserve">es </w:t>
      </w:r>
      <w:r w:rsidR="00440A57">
        <w:rPr>
          <w:bCs/>
          <w:color w:val="000000"/>
          <w:sz w:val="12"/>
          <w:szCs w:val="12"/>
        </w:rPr>
        <w:t>Biens g</w:t>
      </w:r>
      <w:r w:rsidR="00E83033">
        <w:rPr>
          <w:bCs/>
          <w:color w:val="000000"/>
          <w:sz w:val="12"/>
          <w:szCs w:val="12"/>
        </w:rPr>
        <w:t>revés</w:t>
      </w:r>
      <w:r w:rsidR="005A01A8" w:rsidRPr="00A83CE0">
        <w:rPr>
          <w:bCs/>
          <w:color w:val="000000"/>
          <w:sz w:val="12"/>
          <w:szCs w:val="12"/>
        </w:rPr>
        <w:t xml:space="preserve">. Le </w:t>
      </w:r>
      <w:r w:rsidR="003F3FC3">
        <w:rPr>
          <w:bCs/>
          <w:color w:val="000000"/>
          <w:sz w:val="12"/>
          <w:szCs w:val="12"/>
        </w:rPr>
        <w:t>Client</w:t>
      </w:r>
      <w:r w:rsidR="005A01A8" w:rsidRPr="00A83CE0">
        <w:rPr>
          <w:bCs/>
          <w:color w:val="000000"/>
          <w:sz w:val="12"/>
          <w:szCs w:val="12"/>
        </w:rPr>
        <w:t xml:space="preserve"> autorise par les présentes Interfor et ses prêteurs à déposer des états de financement et </w:t>
      </w:r>
      <w:r w:rsidR="00FC1B0B">
        <w:rPr>
          <w:bCs/>
          <w:color w:val="000000"/>
          <w:sz w:val="12"/>
          <w:szCs w:val="12"/>
        </w:rPr>
        <w:t xml:space="preserve">les </w:t>
      </w:r>
      <w:r w:rsidR="005A01A8" w:rsidRPr="00A83CE0">
        <w:rPr>
          <w:bCs/>
          <w:color w:val="000000"/>
          <w:sz w:val="12"/>
          <w:szCs w:val="12"/>
        </w:rPr>
        <w:t xml:space="preserve">autres documents qu’ils jugent nécessaires ou souhaitables et le </w:t>
      </w:r>
      <w:r w:rsidR="003F3FC3">
        <w:rPr>
          <w:bCs/>
          <w:color w:val="000000"/>
          <w:sz w:val="12"/>
          <w:szCs w:val="12"/>
        </w:rPr>
        <w:t>Client</w:t>
      </w:r>
      <w:r w:rsidR="005A01A8" w:rsidRPr="00A83CE0">
        <w:rPr>
          <w:bCs/>
          <w:color w:val="000000"/>
          <w:sz w:val="12"/>
          <w:szCs w:val="12"/>
        </w:rPr>
        <w:t xml:space="preserve"> renonce par les présentes à son droit de recevoir une copie de ces documents.</w:t>
      </w:r>
    </w:p>
    <w:p w14:paraId="2636A9AB" w14:textId="50F9EDF3" w:rsidR="005A01A8" w:rsidRPr="00A83CE0" w:rsidRDefault="005A01A8" w:rsidP="00A83CE0">
      <w:pPr>
        <w:pStyle w:val="ListParagraph"/>
        <w:numPr>
          <w:ilvl w:val="0"/>
          <w:numId w:val="2"/>
        </w:numPr>
        <w:tabs>
          <w:tab w:val="left" w:pos="652"/>
        </w:tabs>
        <w:spacing w:after="120"/>
        <w:ind w:right="40"/>
        <w:rPr>
          <w:bCs/>
          <w:color w:val="000000"/>
          <w:sz w:val="12"/>
          <w:szCs w:val="12"/>
        </w:rPr>
      </w:pPr>
      <w:r w:rsidRPr="00A83CE0">
        <w:rPr>
          <w:b/>
          <w:color w:val="000000"/>
          <w:sz w:val="12"/>
          <w:szCs w:val="12"/>
        </w:rPr>
        <w:t>INFORMATION FINANCIÈRE ET DE CRÉDIT</w:t>
      </w:r>
      <w:r w:rsidR="00C60686" w:rsidRPr="00A83CE0">
        <w:rPr>
          <w:bCs/>
          <w:color w:val="000000"/>
          <w:sz w:val="12"/>
          <w:szCs w:val="12"/>
        </w:rPr>
        <w:t>.</w:t>
      </w:r>
      <w:r w:rsidRPr="00A83CE0">
        <w:rPr>
          <w:bCs/>
          <w:color w:val="000000"/>
          <w:sz w:val="12"/>
          <w:szCs w:val="12"/>
        </w:rPr>
        <w:t xml:space="preserve"> Par les présentes, le </w:t>
      </w:r>
      <w:r w:rsidR="003F3FC3">
        <w:rPr>
          <w:bCs/>
          <w:color w:val="000000"/>
          <w:sz w:val="12"/>
          <w:szCs w:val="12"/>
        </w:rPr>
        <w:t>Client</w:t>
      </w:r>
      <w:r w:rsidRPr="00A83CE0">
        <w:rPr>
          <w:bCs/>
          <w:color w:val="000000"/>
          <w:sz w:val="12"/>
          <w:szCs w:val="12"/>
        </w:rPr>
        <w:t xml:space="preserve"> consent à ce qu’Interfor effectue de temps à autre une enquête de </w:t>
      </w:r>
      <w:r w:rsidR="00206E3B">
        <w:rPr>
          <w:bCs/>
          <w:color w:val="000000"/>
          <w:sz w:val="12"/>
          <w:szCs w:val="12"/>
        </w:rPr>
        <w:t>solvabilité</w:t>
      </w:r>
      <w:r w:rsidRPr="00A83CE0">
        <w:rPr>
          <w:bCs/>
          <w:color w:val="000000"/>
          <w:sz w:val="12"/>
          <w:szCs w:val="12"/>
        </w:rPr>
        <w:t xml:space="preserve"> du </w:t>
      </w:r>
      <w:r w:rsidR="003F3FC3">
        <w:rPr>
          <w:bCs/>
          <w:color w:val="000000"/>
          <w:sz w:val="12"/>
          <w:szCs w:val="12"/>
        </w:rPr>
        <w:t>Client</w:t>
      </w:r>
      <w:r w:rsidRPr="00A83CE0">
        <w:rPr>
          <w:bCs/>
          <w:color w:val="000000"/>
          <w:sz w:val="12"/>
          <w:szCs w:val="12"/>
        </w:rPr>
        <w:t xml:space="preserve"> et </w:t>
      </w:r>
      <w:r w:rsidR="00162129">
        <w:rPr>
          <w:bCs/>
          <w:color w:val="000000"/>
          <w:sz w:val="12"/>
          <w:szCs w:val="12"/>
        </w:rPr>
        <w:t>re</w:t>
      </w:r>
      <w:r w:rsidRPr="00A83CE0">
        <w:rPr>
          <w:bCs/>
          <w:color w:val="000000"/>
          <w:sz w:val="12"/>
          <w:szCs w:val="12"/>
        </w:rPr>
        <w:t xml:space="preserve">met à Interfor les états financiers, l’information, les instruments, </w:t>
      </w:r>
      <w:r w:rsidR="00162129">
        <w:rPr>
          <w:bCs/>
          <w:color w:val="000000"/>
          <w:sz w:val="12"/>
          <w:szCs w:val="12"/>
        </w:rPr>
        <w:t xml:space="preserve">la documentation, </w:t>
      </w:r>
      <w:r w:rsidRPr="00A83CE0">
        <w:rPr>
          <w:bCs/>
          <w:color w:val="000000"/>
          <w:sz w:val="12"/>
          <w:szCs w:val="12"/>
        </w:rPr>
        <w:t>l</w:t>
      </w:r>
      <w:r w:rsidR="00682AC7">
        <w:rPr>
          <w:bCs/>
          <w:color w:val="000000"/>
          <w:sz w:val="12"/>
          <w:szCs w:val="12"/>
        </w:rPr>
        <w:t>es</w:t>
      </w:r>
      <w:r w:rsidRPr="00A83CE0">
        <w:rPr>
          <w:bCs/>
          <w:color w:val="000000"/>
          <w:sz w:val="12"/>
          <w:szCs w:val="12"/>
        </w:rPr>
        <w:t xml:space="preserve"> s</w:t>
      </w:r>
      <w:r w:rsidR="00811A82">
        <w:rPr>
          <w:bCs/>
          <w:color w:val="000000"/>
          <w:sz w:val="12"/>
          <w:szCs w:val="12"/>
        </w:rPr>
        <w:t>ûreté</w:t>
      </w:r>
      <w:r w:rsidR="00682AC7">
        <w:rPr>
          <w:bCs/>
          <w:color w:val="000000"/>
          <w:sz w:val="12"/>
          <w:szCs w:val="12"/>
        </w:rPr>
        <w:t>s</w:t>
      </w:r>
      <w:r w:rsidR="00811A82">
        <w:rPr>
          <w:bCs/>
          <w:color w:val="000000"/>
          <w:sz w:val="12"/>
          <w:szCs w:val="12"/>
        </w:rPr>
        <w:t>, les assurances</w:t>
      </w:r>
      <w:r w:rsidRPr="00A83CE0">
        <w:rPr>
          <w:bCs/>
          <w:color w:val="000000"/>
          <w:sz w:val="12"/>
          <w:szCs w:val="12"/>
        </w:rPr>
        <w:t xml:space="preserve"> ou les garanties qu’Interfor peut raisonnablement demander. Si Interfor, agissant raisonnablement, constate des changements importants dans la situation financière du </w:t>
      </w:r>
      <w:r w:rsidR="003F3FC3">
        <w:rPr>
          <w:bCs/>
          <w:color w:val="000000"/>
          <w:sz w:val="12"/>
          <w:szCs w:val="12"/>
        </w:rPr>
        <w:t>Client</w:t>
      </w:r>
      <w:r w:rsidRPr="00A83CE0">
        <w:rPr>
          <w:bCs/>
          <w:color w:val="000000"/>
          <w:sz w:val="12"/>
          <w:szCs w:val="12"/>
        </w:rPr>
        <w:t>, Interfor se réserve le droit d</w:t>
      </w:r>
      <w:r w:rsidR="007A62C9">
        <w:rPr>
          <w:bCs/>
          <w:color w:val="000000"/>
          <w:sz w:val="12"/>
          <w:szCs w:val="12"/>
        </w:rPr>
        <w:t>e devancer</w:t>
      </w:r>
      <w:r w:rsidRPr="00A83CE0">
        <w:rPr>
          <w:bCs/>
          <w:color w:val="000000"/>
          <w:sz w:val="12"/>
          <w:szCs w:val="12"/>
        </w:rPr>
        <w:t xml:space="preserve"> les modalités de </w:t>
      </w:r>
      <w:proofErr w:type="gramStart"/>
      <w:r w:rsidRPr="00A83CE0">
        <w:rPr>
          <w:bCs/>
          <w:color w:val="000000"/>
          <w:sz w:val="12"/>
          <w:szCs w:val="12"/>
        </w:rPr>
        <w:t>paiement</w:t>
      </w:r>
      <w:proofErr w:type="gramEnd"/>
      <w:r w:rsidRPr="00A83CE0">
        <w:rPr>
          <w:bCs/>
          <w:color w:val="000000"/>
          <w:sz w:val="12"/>
          <w:szCs w:val="12"/>
        </w:rPr>
        <w:t xml:space="preserve"> à deux jours après la date de la facture, et le montant impayé à la ou aux dates d</w:t>
      </w:r>
      <w:r w:rsidR="000E6670">
        <w:rPr>
          <w:bCs/>
          <w:color w:val="000000"/>
          <w:sz w:val="12"/>
          <w:szCs w:val="12"/>
        </w:rPr>
        <w:t>u</w:t>
      </w:r>
      <w:r w:rsidR="0088775E">
        <w:rPr>
          <w:bCs/>
          <w:color w:val="000000"/>
          <w:sz w:val="12"/>
          <w:szCs w:val="12"/>
        </w:rPr>
        <w:t xml:space="preserve"> devancement</w:t>
      </w:r>
      <w:r w:rsidRPr="00A83CE0">
        <w:rPr>
          <w:bCs/>
          <w:color w:val="000000"/>
          <w:sz w:val="12"/>
          <w:szCs w:val="12"/>
        </w:rPr>
        <w:t xml:space="preserve"> ou </w:t>
      </w:r>
      <w:r w:rsidR="00987BA3">
        <w:rPr>
          <w:bCs/>
          <w:color w:val="000000"/>
          <w:sz w:val="12"/>
          <w:szCs w:val="12"/>
        </w:rPr>
        <w:t>ultérieurement</w:t>
      </w:r>
      <w:r w:rsidRPr="00A83CE0">
        <w:rPr>
          <w:bCs/>
          <w:color w:val="000000"/>
          <w:sz w:val="12"/>
          <w:szCs w:val="12"/>
        </w:rPr>
        <w:t xml:space="preserve"> devient immédiatement exigible et payable.</w:t>
      </w:r>
    </w:p>
    <w:p w14:paraId="1C9E4569" w14:textId="18E99F6D" w:rsidR="005A01A8" w:rsidRPr="00A4774F" w:rsidRDefault="005A01A8" w:rsidP="00A83CE0">
      <w:pPr>
        <w:pStyle w:val="ListParagraph"/>
        <w:numPr>
          <w:ilvl w:val="0"/>
          <w:numId w:val="2"/>
        </w:numPr>
        <w:tabs>
          <w:tab w:val="left" w:pos="652"/>
        </w:tabs>
        <w:spacing w:after="120"/>
        <w:ind w:right="40"/>
        <w:rPr>
          <w:bCs/>
          <w:color w:val="000000"/>
          <w:sz w:val="12"/>
          <w:szCs w:val="12"/>
        </w:rPr>
      </w:pPr>
      <w:r w:rsidRPr="00A4774F">
        <w:rPr>
          <w:b/>
          <w:color w:val="000000"/>
          <w:sz w:val="12"/>
          <w:szCs w:val="12"/>
        </w:rPr>
        <w:t>GARANTIES</w:t>
      </w:r>
      <w:r w:rsidR="00C60686" w:rsidRPr="00A4774F">
        <w:rPr>
          <w:bCs/>
          <w:color w:val="000000"/>
          <w:sz w:val="12"/>
          <w:szCs w:val="12"/>
        </w:rPr>
        <w:t>.</w:t>
      </w:r>
      <w:r w:rsidRPr="00A4774F">
        <w:rPr>
          <w:bCs/>
          <w:color w:val="000000"/>
          <w:sz w:val="12"/>
          <w:szCs w:val="12"/>
        </w:rPr>
        <w:t xml:space="preserve"> Interfor garantit ce qui suit : a) elle a un titre de propriété valable sur tous les </w:t>
      </w:r>
      <w:r w:rsidR="0079793D" w:rsidRPr="00A4774F">
        <w:rPr>
          <w:bCs/>
          <w:color w:val="000000"/>
          <w:sz w:val="12"/>
          <w:szCs w:val="12"/>
        </w:rPr>
        <w:t xml:space="preserve">Produits de bois d’œuvre </w:t>
      </w:r>
      <w:r w:rsidRPr="00A4774F">
        <w:rPr>
          <w:bCs/>
          <w:color w:val="000000"/>
          <w:sz w:val="12"/>
          <w:szCs w:val="12"/>
        </w:rPr>
        <w:t xml:space="preserve">vendus au </w:t>
      </w:r>
      <w:r w:rsidR="003F3FC3" w:rsidRPr="00A4774F">
        <w:rPr>
          <w:bCs/>
          <w:color w:val="000000"/>
          <w:sz w:val="12"/>
          <w:szCs w:val="12"/>
        </w:rPr>
        <w:t>Client</w:t>
      </w:r>
      <w:r w:rsidRPr="00A4774F">
        <w:rPr>
          <w:bCs/>
          <w:color w:val="000000"/>
          <w:sz w:val="12"/>
          <w:szCs w:val="12"/>
        </w:rPr>
        <w:t xml:space="preserve"> aux termes de la </w:t>
      </w:r>
      <w:r w:rsidR="00292D2B" w:rsidRPr="00A4774F">
        <w:rPr>
          <w:bCs/>
          <w:color w:val="000000"/>
          <w:sz w:val="12"/>
          <w:szCs w:val="12"/>
        </w:rPr>
        <w:t>Convention</w:t>
      </w:r>
      <w:r w:rsidRPr="00A4774F">
        <w:rPr>
          <w:bCs/>
          <w:color w:val="000000"/>
          <w:sz w:val="12"/>
          <w:szCs w:val="12"/>
        </w:rPr>
        <w:t xml:space="preserve">, libre et quitte de </w:t>
      </w:r>
      <w:r w:rsidR="00A17855" w:rsidRPr="00A4774F">
        <w:rPr>
          <w:bCs/>
          <w:color w:val="000000"/>
          <w:sz w:val="12"/>
          <w:szCs w:val="12"/>
        </w:rPr>
        <w:t xml:space="preserve">tous </w:t>
      </w:r>
      <w:r w:rsidRPr="00A4774F">
        <w:rPr>
          <w:bCs/>
          <w:color w:val="000000"/>
          <w:sz w:val="12"/>
          <w:szCs w:val="12"/>
        </w:rPr>
        <w:t>privilèges</w:t>
      </w:r>
      <w:r w:rsidR="00A17855" w:rsidRPr="00A4774F">
        <w:rPr>
          <w:bCs/>
          <w:color w:val="000000"/>
          <w:sz w:val="12"/>
          <w:szCs w:val="12"/>
        </w:rPr>
        <w:t>, priorités, hypothèques légales, droits de rétention ou autres charges</w:t>
      </w:r>
      <w:r w:rsidRPr="00A4774F">
        <w:rPr>
          <w:bCs/>
          <w:color w:val="000000"/>
          <w:sz w:val="12"/>
          <w:szCs w:val="12"/>
        </w:rPr>
        <w:t xml:space="preserve">; et b) les </w:t>
      </w:r>
      <w:r w:rsidR="0079793D" w:rsidRPr="00A4774F">
        <w:rPr>
          <w:bCs/>
          <w:color w:val="000000"/>
          <w:sz w:val="12"/>
          <w:szCs w:val="12"/>
        </w:rPr>
        <w:t xml:space="preserve">Produits de bois d’œuvre </w:t>
      </w:r>
      <w:r w:rsidRPr="00A4774F">
        <w:rPr>
          <w:bCs/>
          <w:color w:val="000000"/>
          <w:sz w:val="12"/>
          <w:szCs w:val="12"/>
        </w:rPr>
        <w:t xml:space="preserve">livrés au </w:t>
      </w:r>
      <w:r w:rsidR="003F3FC3" w:rsidRPr="00A4774F">
        <w:rPr>
          <w:bCs/>
          <w:color w:val="000000"/>
          <w:sz w:val="12"/>
          <w:szCs w:val="12"/>
        </w:rPr>
        <w:t>Client</w:t>
      </w:r>
      <w:r w:rsidRPr="00A4774F">
        <w:rPr>
          <w:bCs/>
          <w:color w:val="000000"/>
          <w:sz w:val="12"/>
          <w:szCs w:val="12"/>
        </w:rPr>
        <w:t xml:space="preserve"> aux termes de la </w:t>
      </w:r>
      <w:r w:rsidR="00292D2B" w:rsidRPr="00A4774F">
        <w:rPr>
          <w:bCs/>
          <w:color w:val="000000"/>
          <w:sz w:val="12"/>
          <w:szCs w:val="12"/>
        </w:rPr>
        <w:t>Convention</w:t>
      </w:r>
      <w:r w:rsidRPr="00A4774F">
        <w:rPr>
          <w:bCs/>
          <w:color w:val="000000"/>
          <w:sz w:val="12"/>
          <w:szCs w:val="12"/>
        </w:rPr>
        <w:t xml:space="preserve"> seront conformes aux </w:t>
      </w:r>
      <w:r w:rsidR="00E83033" w:rsidRPr="00A4774F">
        <w:rPr>
          <w:bCs/>
          <w:color w:val="000000"/>
          <w:sz w:val="12"/>
          <w:szCs w:val="12"/>
        </w:rPr>
        <w:t>Spécifications</w:t>
      </w:r>
      <w:r w:rsidRPr="00A4774F">
        <w:rPr>
          <w:bCs/>
          <w:color w:val="000000"/>
          <w:sz w:val="12"/>
          <w:szCs w:val="12"/>
        </w:rPr>
        <w:t>. LES GARANTIES PRÉCISÉES DANS L</w:t>
      </w:r>
      <w:r w:rsidR="0072796B" w:rsidRPr="00A4774F">
        <w:rPr>
          <w:bCs/>
          <w:color w:val="000000"/>
          <w:sz w:val="12"/>
          <w:szCs w:val="12"/>
        </w:rPr>
        <w:t>A</w:t>
      </w:r>
      <w:r w:rsidRPr="00A4774F">
        <w:rPr>
          <w:bCs/>
          <w:color w:val="000000"/>
          <w:sz w:val="12"/>
          <w:szCs w:val="12"/>
        </w:rPr>
        <w:t xml:space="preserve"> PRÉSENT</w:t>
      </w:r>
      <w:r w:rsidR="0072796B" w:rsidRPr="00A4774F">
        <w:rPr>
          <w:bCs/>
          <w:color w:val="000000"/>
          <w:sz w:val="12"/>
          <w:szCs w:val="12"/>
        </w:rPr>
        <w:t>E</w:t>
      </w:r>
      <w:r w:rsidRPr="00A4774F">
        <w:rPr>
          <w:bCs/>
          <w:color w:val="000000"/>
          <w:sz w:val="12"/>
          <w:szCs w:val="12"/>
        </w:rPr>
        <w:t xml:space="preserve"> </w:t>
      </w:r>
      <w:r w:rsidR="0072796B" w:rsidRPr="00A4774F">
        <w:rPr>
          <w:bCs/>
          <w:color w:val="000000"/>
          <w:sz w:val="12"/>
          <w:szCs w:val="12"/>
        </w:rPr>
        <w:t>CLAUSE</w:t>
      </w:r>
      <w:r w:rsidRPr="00A4774F">
        <w:rPr>
          <w:bCs/>
          <w:color w:val="000000"/>
          <w:sz w:val="12"/>
          <w:szCs w:val="12"/>
        </w:rPr>
        <w:t xml:space="preserve"> </w:t>
      </w:r>
      <w:r w:rsidR="00D23867" w:rsidRPr="00A4774F">
        <w:rPr>
          <w:bCs/>
          <w:color w:val="000000"/>
          <w:sz w:val="12"/>
          <w:szCs w:val="12"/>
        </w:rPr>
        <w:t xml:space="preserve">REMPLACENT </w:t>
      </w:r>
      <w:r w:rsidRPr="00A4774F">
        <w:rPr>
          <w:bCs/>
          <w:color w:val="000000"/>
          <w:sz w:val="12"/>
          <w:szCs w:val="12"/>
        </w:rPr>
        <w:t>TOUTES LES AUTRES DÉCLARATIONS ET GARANTIES À L’ÉGARD DES PRODUITS DE BOIS</w:t>
      </w:r>
      <w:r w:rsidR="00D23867" w:rsidRPr="00A4774F">
        <w:rPr>
          <w:bCs/>
          <w:color w:val="000000"/>
          <w:sz w:val="12"/>
          <w:szCs w:val="12"/>
        </w:rPr>
        <w:t xml:space="preserve"> D’</w:t>
      </w:r>
      <w:r w:rsidR="0079793D" w:rsidRPr="00A4774F">
        <w:rPr>
          <w:bCs/>
          <w:color w:val="000000"/>
          <w:sz w:val="12"/>
          <w:szCs w:val="12"/>
        </w:rPr>
        <w:t>ŒUVRE</w:t>
      </w:r>
      <w:r w:rsidRPr="00A4774F">
        <w:rPr>
          <w:bCs/>
          <w:color w:val="000000"/>
          <w:sz w:val="12"/>
          <w:szCs w:val="12"/>
        </w:rPr>
        <w:t xml:space="preserve">, QU’ELLES SOIENT EXPRESSES, IMPLICITES OU </w:t>
      </w:r>
      <w:r w:rsidR="00210455" w:rsidRPr="00A4774F">
        <w:rPr>
          <w:bCs/>
          <w:color w:val="000000"/>
          <w:sz w:val="12"/>
          <w:szCs w:val="12"/>
        </w:rPr>
        <w:t>PRÉVUES PAR LA LOI</w:t>
      </w:r>
      <w:r w:rsidRPr="00A4774F">
        <w:rPr>
          <w:bCs/>
          <w:color w:val="000000"/>
          <w:sz w:val="12"/>
          <w:szCs w:val="12"/>
        </w:rPr>
        <w:t xml:space="preserve">, Y COMPRIS, </w:t>
      </w:r>
      <w:r w:rsidR="00210455" w:rsidRPr="00A4774F">
        <w:rPr>
          <w:bCs/>
          <w:color w:val="000000"/>
          <w:sz w:val="12"/>
          <w:szCs w:val="12"/>
        </w:rPr>
        <w:t>NOTAMMENT</w:t>
      </w:r>
      <w:r w:rsidRPr="00A4774F">
        <w:rPr>
          <w:bCs/>
          <w:color w:val="000000"/>
          <w:sz w:val="12"/>
          <w:szCs w:val="12"/>
        </w:rPr>
        <w:t xml:space="preserve">, TOUTE DÉCLARATION OU GARANTIE DE QUALITÉ </w:t>
      </w:r>
      <w:r w:rsidR="009C613E" w:rsidRPr="00A4774F">
        <w:rPr>
          <w:bCs/>
          <w:color w:val="000000"/>
          <w:sz w:val="12"/>
          <w:szCs w:val="12"/>
        </w:rPr>
        <w:t>MARCHANDE</w:t>
      </w:r>
      <w:r w:rsidRPr="00A4774F">
        <w:rPr>
          <w:bCs/>
          <w:color w:val="000000"/>
          <w:sz w:val="12"/>
          <w:szCs w:val="12"/>
        </w:rPr>
        <w:t xml:space="preserve"> OU D’ADA</w:t>
      </w:r>
      <w:r w:rsidR="00A801B1" w:rsidRPr="00A4774F">
        <w:rPr>
          <w:bCs/>
          <w:color w:val="000000"/>
          <w:sz w:val="12"/>
          <w:szCs w:val="12"/>
        </w:rPr>
        <w:t>PT</w:t>
      </w:r>
      <w:r w:rsidRPr="00A4774F">
        <w:rPr>
          <w:bCs/>
          <w:color w:val="000000"/>
          <w:sz w:val="12"/>
          <w:szCs w:val="12"/>
        </w:rPr>
        <w:t>ATION</w:t>
      </w:r>
      <w:r w:rsidR="00A801B1" w:rsidRPr="00A4774F">
        <w:rPr>
          <w:bCs/>
          <w:color w:val="000000"/>
          <w:sz w:val="12"/>
          <w:szCs w:val="12"/>
        </w:rPr>
        <w:t xml:space="preserve"> À UN US</w:t>
      </w:r>
      <w:r w:rsidR="00205357" w:rsidRPr="00A4774F">
        <w:rPr>
          <w:bCs/>
          <w:color w:val="000000"/>
          <w:sz w:val="12"/>
          <w:szCs w:val="12"/>
        </w:rPr>
        <w:t>AG</w:t>
      </w:r>
      <w:r w:rsidR="00A801B1" w:rsidRPr="00A4774F">
        <w:rPr>
          <w:bCs/>
          <w:color w:val="000000"/>
          <w:sz w:val="12"/>
          <w:szCs w:val="12"/>
        </w:rPr>
        <w:t>E PARTICULIER</w:t>
      </w:r>
      <w:r w:rsidRPr="00A4774F">
        <w:rPr>
          <w:bCs/>
          <w:color w:val="000000"/>
          <w:sz w:val="12"/>
          <w:szCs w:val="12"/>
        </w:rPr>
        <w:t xml:space="preserve">. Les garanties ci-dessus ne s’appliquent qu’au </w:t>
      </w:r>
      <w:r w:rsidR="003F3FC3" w:rsidRPr="00A4774F">
        <w:rPr>
          <w:bCs/>
          <w:color w:val="000000"/>
          <w:sz w:val="12"/>
          <w:szCs w:val="12"/>
        </w:rPr>
        <w:t>Client</w:t>
      </w:r>
      <w:r w:rsidRPr="00A4774F">
        <w:rPr>
          <w:bCs/>
          <w:color w:val="000000"/>
          <w:sz w:val="12"/>
          <w:szCs w:val="12"/>
        </w:rPr>
        <w:t xml:space="preserve"> et ne </w:t>
      </w:r>
      <w:r w:rsidR="00121CCA" w:rsidRPr="00A4774F">
        <w:rPr>
          <w:bCs/>
          <w:color w:val="000000"/>
          <w:sz w:val="12"/>
          <w:szCs w:val="12"/>
        </w:rPr>
        <w:t xml:space="preserve">s’appliquent pas ni ne </w:t>
      </w:r>
      <w:r w:rsidRPr="00A4774F">
        <w:rPr>
          <w:bCs/>
          <w:color w:val="000000"/>
          <w:sz w:val="12"/>
          <w:szCs w:val="12"/>
        </w:rPr>
        <w:t>sont destinées à un acheteur ultérieur ni ne peuvent être transférées ni cédées à une autre personne.</w:t>
      </w:r>
    </w:p>
    <w:p w14:paraId="77585063" w14:textId="518BB39C" w:rsidR="00C60686" w:rsidRPr="00A83CE0" w:rsidRDefault="005A01A8" w:rsidP="00A83CE0">
      <w:pPr>
        <w:pStyle w:val="ListParagraph"/>
        <w:numPr>
          <w:ilvl w:val="0"/>
          <w:numId w:val="2"/>
        </w:numPr>
        <w:tabs>
          <w:tab w:val="left" w:pos="652"/>
        </w:tabs>
        <w:spacing w:after="120"/>
        <w:ind w:right="40"/>
        <w:rPr>
          <w:bCs/>
          <w:color w:val="000000"/>
          <w:sz w:val="12"/>
          <w:szCs w:val="12"/>
        </w:rPr>
      </w:pPr>
      <w:r w:rsidRPr="00A83CE0">
        <w:rPr>
          <w:b/>
          <w:color w:val="000000"/>
          <w:sz w:val="12"/>
          <w:szCs w:val="12"/>
        </w:rPr>
        <w:t>GARANTIE DES PRODUITS NON FABRIQUÉS PAR INTERFOR</w:t>
      </w:r>
      <w:r w:rsidRPr="00A83CE0">
        <w:rPr>
          <w:bCs/>
          <w:color w:val="000000"/>
          <w:sz w:val="12"/>
          <w:szCs w:val="12"/>
        </w:rPr>
        <w:t xml:space="preserve">. La garantie qui précède ne s’applique pas aux </w:t>
      </w:r>
      <w:r w:rsidR="0079793D">
        <w:rPr>
          <w:bCs/>
          <w:color w:val="000000"/>
          <w:sz w:val="12"/>
          <w:szCs w:val="12"/>
        </w:rPr>
        <w:t xml:space="preserve">Produits de bois d’œuvre </w:t>
      </w:r>
      <w:r w:rsidRPr="00A83CE0">
        <w:rPr>
          <w:bCs/>
          <w:color w:val="000000"/>
          <w:sz w:val="12"/>
          <w:szCs w:val="12"/>
        </w:rPr>
        <w:t>qui ne sont pas fabriqués par Interfor. Pour tous ces produits de bois d’</w:t>
      </w:r>
      <w:r w:rsidR="00F4186D" w:rsidRPr="00A83CE0">
        <w:rPr>
          <w:bCs/>
          <w:color w:val="000000"/>
          <w:sz w:val="12"/>
          <w:szCs w:val="12"/>
        </w:rPr>
        <w:t>œuvre</w:t>
      </w:r>
      <w:r w:rsidRPr="00A83CE0">
        <w:rPr>
          <w:bCs/>
          <w:color w:val="000000"/>
          <w:sz w:val="12"/>
          <w:szCs w:val="12"/>
        </w:rPr>
        <w:t xml:space="preserve">, Interfor ne fait aucune déclaration ni ne donne aucune garantie, </w:t>
      </w:r>
      <w:r w:rsidR="00F4186D">
        <w:rPr>
          <w:bCs/>
          <w:color w:val="000000"/>
          <w:sz w:val="12"/>
          <w:szCs w:val="12"/>
        </w:rPr>
        <w:t>prévue par la loi</w:t>
      </w:r>
      <w:r w:rsidRPr="00A83CE0">
        <w:rPr>
          <w:bCs/>
          <w:color w:val="000000"/>
          <w:sz w:val="12"/>
          <w:szCs w:val="12"/>
        </w:rPr>
        <w:t xml:space="preserve"> ou autre, expresse ou implicite, y compris une garantie de </w:t>
      </w:r>
      <w:r w:rsidR="00F4186D">
        <w:rPr>
          <w:bCs/>
          <w:color w:val="000000"/>
          <w:sz w:val="12"/>
          <w:szCs w:val="12"/>
        </w:rPr>
        <w:t>qualité marchande ou d’adaptation à un usage particulier</w:t>
      </w:r>
      <w:r w:rsidRPr="00A83CE0">
        <w:rPr>
          <w:bCs/>
          <w:color w:val="000000"/>
          <w:sz w:val="12"/>
          <w:szCs w:val="12"/>
        </w:rPr>
        <w:t xml:space="preserve">. Tous ces </w:t>
      </w:r>
      <w:r w:rsidR="0079793D">
        <w:rPr>
          <w:bCs/>
          <w:color w:val="000000"/>
          <w:sz w:val="12"/>
          <w:szCs w:val="12"/>
        </w:rPr>
        <w:t xml:space="preserve">Produits de bois d’œuvre </w:t>
      </w:r>
      <w:r w:rsidRPr="00A83CE0">
        <w:rPr>
          <w:bCs/>
          <w:color w:val="000000"/>
          <w:sz w:val="12"/>
          <w:szCs w:val="12"/>
        </w:rPr>
        <w:t>sont vendus « </w:t>
      </w:r>
      <w:r w:rsidR="00636B4A">
        <w:rPr>
          <w:bCs/>
          <w:color w:val="000000"/>
          <w:sz w:val="12"/>
          <w:szCs w:val="12"/>
        </w:rPr>
        <w:t>TEL QUEL</w:t>
      </w:r>
      <w:r w:rsidRPr="00A83CE0">
        <w:rPr>
          <w:bCs/>
          <w:color w:val="000000"/>
          <w:sz w:val="12"/>
          <w:szCs w:val="12"/>
        </w:rPr>
        <w:t>, AVEC TOUS </w:t>
      </w:r>
      <w:r w:rsidR="006565D8">
        <w:rPr>
          <w:bCs/>
          <w:color w:val="000000"/>
          <w:sz w:val="12"/>
          <w:szCs w:val="12"/>
        </w:rPr>
        <w:t xml:space="preserve">LES DÉFAUTS </w:t>
      </w:r>
      <w:r w:rsidRPr="00A83CE0">
        <w:rPr>
          <w:bCs/>
          <w:color w:val="000000"/>
          <w:sz w:val="12"/>
          <w:szCs w:val="12"/>
        </w:rPr>
        <w:t xml:space="preserve">». Dans la mesure où le fabricant du produit de </w:t>
      </w:r>
      <w:r w:rsidR="0025578D">
        <w:rPr>
          <w:bCs/>
          <w:color w:val="000000"/>
          <w:sz w:val="12"/>
          <w:szCs w:val="12"/>
        </w:rPr>
        <w:t xml:space="preserve">bois d’œuvre </w:t>
      </w:r>
      <w:r w:rsidRPr="00A83CE0">
        <w:rPr>
          <w:bCs/>
          <w:color w:val="000000"/>
          <w:sz w:val="12"/>
          <w:szCs w:val="12"/>
        </w:rPr>
        <w:t>fournit une garantie et le</w:t>
      </w:r>
      <w:r w:rsidR="00C60686" w:rsidRPr="00A83CE0">
        <w:rPr>
          <w:bCs/>
          <w:color w:val="000000"/>
          <w:sz w:val="12"/>
          <w:szCs w:val="12"/>
        </w:rPr>
        <w:t xml:space="preserve"> fabricant a consenti à ce transfert ou </w:t>
      </w:r>
      <w:r w:rsidR="009402E2">
        <w:rPr>
          <w:bCs/>
          <w:color w:val="000000"/>
          <w:sz w:val="12"/>
          <w:szCs w:val="12"/>
        </w:rPr>
        <w:t xml:space="preserve">si </w:t>
      </w:r>
      <w:r w:rsidR="00C60686" w:rsidRPr="00A83CE0">
        <w:rPr>
          <w:bCs/>
          <w:color w:val="000000"/>
          <w:sz w:val="12"/>
          <w:szCs w:val="12"/>
        </w:rPr>
        <w:t xml:space="preserve">le consentement du fabricant n’est pas requis, Interfor transfère la garantie du fabricant au </w:t>
      </w:r>
      <w:r w:rsidR="003F3FC3">
        <w:rPr>
          <w:bCs/>
          <w:color w:val="000000"/>
          <w:sz w:val="12"/>
          <w:szCs w:val="12"/>
        </w:rPr>
        <w:t>Client</w:t>
      </w:r>
      <w:r w:rsidR="00C60686" w:rsidRPr="00A83CE0">
        <w:rPr>
          <w:bCs/>
          <w:color w:val="000000"/>
          <w:sz w:val="12"/>
          <w:szCs w:val="12"/>
        </w:rPr>
        <w:t xml:space="preserve"> sans </w:t>
      </w:r>
      <w:r w:rsidR="005938A6">
        <w:rPr>
          <w:bCs/>
          <w:color w:val="000000"/>
          <w:sz w:val="12"/>
          <w:szCs w:val="12"/>
        </w:rPr>
        <w:t>qu’Interfor n’</w:t>
      </w:r>
      <w:r w:rsidR="00C60686" w:rsidRPr="00A83CE0">
        <w:rPr>
          <w:bCs/>
          <w:color w:val="000000"/>
          <w:sz w:val="12"/>
          <w:szCs w:val="12"/>
        </w:rPr>
        <w:t>en</w:t>
      </w:r>
      <w:r w:rsidR="009A462F">
        <w:rPr>
          <w:bCs/>
          <w:color w:val="000000"/>
          <w:sz w:val="12"/>
          <w:szCs w:val="12"/>
        </w:rPr>
        <w:t>coure quelque</w:t>
      </w:r>
      <w:r w:rsidR="00C60686" w:rsidRPr="00A83CE0">
        <w:rPr>
          <w:bCs/>
          <w:color w:val="000000"/>
          <w:sz w:val="12"/>
          <w:szCs w:val="12"/>
        </w:rPr>
        <w:t xml:space="preserve"> responsabilité aux termes de cette garantie.</w:t>
      </w:r>
    </w:p>
    <w:p w14:paraId="64ADF2FF" w14:textId="07E45609" w:rsidR="005A01A8" w:rsidRDefault="005A01A8" w:rsidP="00A83CE0">
      <w:pPr>
        <w:pStyle w:val="ListParagraph"/>
        <w:numPr>
          <w:ilvl w:val="0"/>
          <w:numId w:val="2"/>
        </w:numPr>
        <w:tabs>
          <w:tab w:val="left" w:pos="652"/>
        </w:tabs>
        <w:spacing w:after="120"/>
        <w:ind w:right="40"/>
        <w:rPr>
          <w:bCs/>
          <w:color w:val="000000"/>
          <w:sz w:val="12"/>
          <w:szCs w:val="12"/>
        </w:rPr>
      </w:pPr>
      <w:r w:rsidRPr="00A83CE0">
        <w:rPr>
          <w:b/>
          <w:color w:val="000000"/>
          <w:sz w:val="12"/>
          <w:szCs w:val="12"/>
        </w:rPr>
        <w:t xml:space="preserve">RECOURS EXCLUSIF POUR REJET DE </w:t>
      </w:r>
      <w:r w:rsidR="0079793D">
        <w:rPr>
          <w:b/>
          <w:color w:val="000000"/>
          <w:sz w:val="12"/>
          <w:szCs w:val="12"/>
        </w:rPr>
        <w:t xml:space="preserve">PRODUITS DE BOIS D’ŒUVRE </w:t>
      </w:r>
      <w:r w:rsidRPr="00A83CE0">
        <w:rPr>
          <w:b/>
          <w:color w:val="000000"/>
          <w:sz w:val="12"/>
          <w:szCs w:val="12"/>
        </w:rPr>
        <w:t xml:space="preserve">OU </w:t>
      </w:r>
      <w:r w:rsidR="003803C6">
        <w:rPr>
          <w:b/>
          <w:color w:val="000000"/>
          <w:sz w:val="12"/>
          <w:szCs w:val="12"/>
        </w:rPr>
        <w:t>RÉCL</w:t>
      </w:r>
      <w:r w:rsidR="00A5146F">
        <w:rPr>
          <w:b/>
          <w:color w:val="000000"/>
          <w:sz w:val="12"/>
          <w:szCs w:val="12"/>
        </w:rPr>
        <w:t xml:space="preserve">AMATIONS AU TITRE DE </w:t>
      </w:r>
      <w:r w:rsidR="00352BCE">
        <w:rPr>
          <w:b/>
          <w:color w:val="000000"/>
          <w:sz w:val="12"/>
          <w:szCs w:val="12"/>
        </w:rPr>
        <w:t xml:space="preserve">LA </w:t>
      </w:r>
      <w:r w:rsidRPr="00A83CE0">
        <w:rPr>
          <w:b/>
          <w:color w:val="000000"/>
          <w:sz w:val="12"/>
          <w:szCs w:val="12"/>
        </w:rPr>
        <w:t>GARANTIE</w:t>
      </w:r>
      <w:r w:rsidRPr="00A83CE0">
        <w:rPr>
          <w:bCs/>
          <w:color w:val="000000"/>
          <w:sz w:val="12"/>
          <w:szCs w:val="12"/>
        </w:rPr>
        <w:t xml:space="preserve">. Si le </w:t>
      </w:r>
      <w:r w:rsidR="003F3FC3">
        <w:rPr>
          <w:bCs/>
          <w:color w:val="000000"/>
          <w:sz w:val="12"/>
          <w:szCs w:val="12"/>
        </w:rPr>
        <w:t>Client</w:t>
      </w:r>
      <w:r w:rsidRPr="00A83CE0">
        <w:rPr>
          <w:bCs/>
          <w:color w:val="000000"/>
          <w:sz w:val="12"/>
          <w:szCs w:val="12"/>
        </w:rPr>
        <w:t xml:space="preserve"> rejette la totalité ou une partie des </w:t>
      </w:r>
      <w:r w:rsidR="0079793D">
        <w:rPr>
          <w:bCs/>
          <w:color w:val="000000"/>
          <w:sz w:val="12"/>
          <w:szCs w:val="12"/>
        </w:rPr>
        <w:t xml:space="preserve">Produits de bois d’œuvre </w:t>
      </w:r>
      <w:r w:rsidRPr="00A83CE0">
        <w:rPr>
          <w:bCs/>
          <w:color w:val="000000"/>
          <w:sz w:val="12"/>
          <w:szCs w:val="12"/>
        </w:rPr>
        <w:t xml:space="preserve">livrés au </w:t>
      </w:r>
      <w:r w:rsidR="003F3FC3">
        <w:rPr>
          <w:bCs/>
          <w:color w:val="000000"/>
          <w:sz w:val="12"/>
          <w:szCs w:val="12"/>
        </w:rPr>
        <w:t>Client</w:t>
      </w:r>
      <w:r w:rsidRPr="00A83CE0">
        <w:rPr>
          <w:bCs/>
          <w:color w:val="000000"/>
          <w:sz w:val="12"/>
          <w:szCs w:val="12"/>
        </w:rPr>
        <w:t xml:space="preserve"> en vertu de l</w:t>
      </w:r>
      <w:r w:rsidR="00DA3F38">
        <w:rPr>
          <w:bCs/>
          <w:color w:val="000000"/>
          <w:sz w:val="12"/>
          <w:szCs w:val="12"/>
        </w:rPr>
        <w:t>a clause</w:t>
      </w:r>
      <w:r w:rsidRPr="00A83CE0">
        <w:rPr>
          <w:bCs/>
          <w:color w:val="000000"/>
          <w:sz w:val="12"/>
          <w:szCs w:val="12"/>
        </w:rPr>
        <w:t xml:space="preserve"> </w:t>
      </w:r>
      <w:hyperlink w:anchor="_bookmark1" w:history="1">
        <w:r w:rsidRPr="00A83CE0">
          <w:rPr>
            <w:bCs/>
            <w:color w:val="000000"/>
            <w:sz w:val="12"/>
            <w:szCs w:val="12"/>
          </w:rPr>
          <w:t xml:space="preserve">9 </w:t>
        </w:r>
      </w:hyperlink>
      <w:r w:rsidRPr="00A83CE0">
        <w:rPr>
          <w:bCs/>
          <w:color w:val="000000"/>
          <w:sz w:val="12"/>
          <w:szCs w:val="12"/>
        </w:rPr>
        <w:t xml:space="preserve">ou en cas de </w:t>
      </w:r>
      <w:r w:rsidR="00966E02">
        <w:rPr>
          <w:bCs/>
          <w:color w:val="000000"/>
          <w:sz w:val="12"/>
          <w:szCs w:val="12"/>
        </w:rPr>
        <w:t>réclamation au titre</w:t>
      </w:r>
      <w:r w:rsidRPr="00A83CE0">
        <w:rPr>
          <w:bCs/>
          <w:color w:val="000000"/>
          <w:sz w:val="12"/>
          <w:szCs w:val="12"/>
        </w:rPr>
        <w:t xml:space="preserve"> de </w:t>
      </w:r>
      <w:r w:rsidR="00352BCE">
        <w:rPr>
          <w:bCs/>
          <w:color w:val="000000"/>
          <w:sz w:val="12"/>
          <w:szCs w:val="12"/>
        </w:rPr>
        <w:t xml:space="preserve">la </w:t>
      </w:r>
      <w:r w:rsidRPr="00A83CE0">
        <w:rPr>
          <w:bCs/>
          <w:color w:val="000000"/>
          <w:sz w:val="12"/>
          <w:szCs w:val="12"/>
        </w:rPr>
        <w:t xml:space="preserve">garantie, </w:t>
      </w:r>
      <w:r w:rsidR="004519AD">
        <w:rPr>
          <w:bCs/>
          <w:color w:val="000000"/>
          <w:sz w:val="12"/>
          <w:szCs w:val="12"/>
        </w:rPr>
        <w:t xml:space="preserve"> </w:t>
      </w:r>
      <w:r w:rsidR="000360D0">
        <w:rPr>
          <w:bCs/>
          <w:color w:val="000000"/>
          <w:sz w:val="12"/>
          <w:szCs w:val="12"/>
        </w:rPr>
        <w:t xml:space="preserve">le Client </w:t>
      </w:r>
      <w:r w:rsidR="007336E6">
        <w:rPr>
          <w:bCs/>
          <w:color w:val="000000"/>
          <w:sz w:val="12"/>
          <w:szCs w:val="12"/>
        </w:rPr>
        <w:t>prendra</w:t>
      </w:r>
      <w:r w:rsidR="004519AD">
        <w:rPr>
          <w:bCs/>
          <w:color w:val="000000"/>
          <w:sz w:val="12"/>
          <w:szCs w:val="12"/>
        </w:rPr>
        <w:t>, À TITRE DE RECOURS EXCLUSIF,</w:t>
      </w:r>
      <w:r w:rsidRPr="00A83CE0">
        <w:rPr>
          <w:bCs/>
          <w:color w:val="000000"/>
          <w:sz w:val="12"/>
          <w:szCs w:val="12"/>
        </w:rPr>
        <w:t xml:space="preserve"> l’une des </w:t>
      </w:r>
      <w:r w:rsidR="007336E6">
        <w:rPr>
          <w:bCs/>
          <w:color w:val="000000"/>
          <w:sz w:val="12"/>
          <w:szCs w:val="12"/>
        </w:rPr>
        <w:t>mesur</w:t>
      </w:r>
      <w:r w:rsidRPr="00A83CE0">
        <w:rPr>
          <w:bCs/>
          <w:color w:val="000000"/>
          <w:sz w:val="12"/>
          <w:szCs w:val="12"/>
        </w:rPr>
        <w:t xml:space="preserve">es suivantes, à la seule </w:t>
      </w:r>
      <w:r w:rsidR="0001431A">
        <w:rPr>
          <w:bCs/>
          <w:color w:val="000000"/>
          <w:sz w:val="12"/>
          <w:szCs w:val="12"/>
        </w:rPr>
        <w:t xml:space="preserve">discrétion </w:t>
      </w:r>
      <w:r w:rsidR="00D26194">
        <w:rPr>
          <w:bCs/>
          <w:color w:val="000000"/>
          <w:sz w:val="12"/>
          <w:szCs w:val="12"/>
        </w:rPr>
        <w:t xml:space="preserve"> </w:t>
      </w:r>
      <w:r w:rsidRPr="00A83CE0">
        <w:rPr>
          <w:bCs/>
          <w:color w:val="000000"/>
          <w:sz w:val="12"/>
          <w:szCs w:val="12"/>
        </w:rPr>
        <w:t xml:space="preserve">d’Interfor : a) remplacer la partie </w:t>
      </w:r>
      <w:r w:rsidR="00C300BF">
        <w:rPr>
          <w:bCs/>
          <w:color w:val="000000"/>
          <w:sz w:val="12"/>
          <w:szCs w:val="12"/>
        </w:rPr>
        <w:t>visée</w:t>
      </w:r>
      <w:r w:rsidRPr="00A83CE0">
        <w:rPr>
          <w:bCs/>
          <w:color w:val="000000"/>
          <w:sz w:val="12"/>
          <w:szCs w:val="12"/>
        </w:rPr>
        <w:t xml:space="preserve"> des </w:t>
      </w:r>
      <w:r w:rsidR="002B6D29">
        <w:rPr>
          <w:bCs/>
          <w:color w:val="000000"/>
          <w:sz w:val="12"/>
          <w:szCs w:val="12"/>
        </w:rPr>
        <w:t>P</w:t>
      </w:r>
      <w:r w:rsidRPr="00A83CE0">
        <w:rPr>
          <w:bCs/>
          <w:color w:val="000000"/>
          <w:sz w:val="12"/>
          <w:szCs w:val="12"/>
        </w:rPr>
        <w:t>roduits de bois d’</w:t>
      </w:r>
      <w:r w:rsidR="00A163CF" w:rsidRPr="00A83CE0">
        <w:rPr>
          <w:bCs/>
          <w:color w:val="000000"/>
          <w:sz w:val="12"/>
          <w:szCs w:val="12"/>
        </w:rPr>
        <w:t>œuvre</w:t>
      </w:r>
      <w:r w:rsidRPr="00A83CE0">
        <w:rPr>
          <w:bCs/>
          <w:color w:val="000000"/>
          <w:sz w:val="12"/>
          <w:szCs w:val="12"/>
        </w:rPr>
        <w:t xml:space="preserve">; ou b) </w:t>
      </w:r>
      <w:r w:rsidR="00A163CF">
        <w:rPr>
          <w:bCs/>
          <w:color w:val="000000"/>
          <w:sz w:val="12"/>
          <w:szCs w:val="12"/>
        </w:rPr>
        <w:t>annuler</w:t>
      </w:r>
      <w:r w:rsidRPr="00A83CE0">
        <w:rPr>
          <w:bCs/>
          <w:color w:val="000000"/>
          <w:sz w:val="12"/>
          <w:szCs w:val="12"/>
        </w:rPr>
        <w:t xml:space="preserve"> la </w:t>
      </w:r>
      <w:r w:rsidR="00292D2B">
        <w:rPr>
          <w:bCs/>
          <w:color w:val="000000"/>
          <w:sz w:val="12"/>
          <w:szCs w:val="12"/>
        </w:rPr>
        <w:t>Convention</w:t>
      </w:r>
      <w:r w:rsidRPr="00A83CE0">
        <w:rPr>
          <w:bCs/>
          <w:color w:val="000000"/>
          <w:sz w:val="12"/>
          <w:szCs w:val="12"/>
        </w:rPr>
        <w:t xml:space="preserve"> </w:t>
      </w:r>
      <w:r w:rsidR="0006566D">
        <w:rPr>
          <w:bCs/>
          <w:color w:val="000000"/>
          <w:sz w:val="12"/>
          <w:szCs w:val="12"/>
        </w:rPr>
        <w:t>pour la partie</w:t>
      </w:r>
      <w:r w:rsidRPr="00A83CE0">
        <w:rPr>
          <w:bCs/>
          <w:color w:val="000000"/>
          <w:sz w:val="12"/>
          <w:szCs w:val="12"/>
        </w:rPr>
        <w:t xml:space="preserve"> </w:t>
      </w:r>
      <w:r w:rsidR="00C300BF">
        <w:rPr>
          <w:bCs/>
          <w:color w:val="000000"/>
          <w:sz w:val="12"/>
          <w:szCs w:val="12"/>
        </w:rPr>
        <w:t xml:space="preserve">visée </w:t>
      </w:r>
      <w:r w:rsidRPr="00A83CE0">
        <w:rPr>
          <w:bCs/>
          <w:color w:val="000000"/>
          <w:sz w:val="12"/>
          <w:szCs w:val="12"/>
        </w:rPr>
        <w:t xml:space="preserve">des </w:t>
      </w:r>
      <w:r w:rsidR="0079793D">
        <w:rPr>
          <w:bCs/>
          <w:color w:val="000000"/>
          <w:sz w:val="12"/>
          <w:szCs w:val="12"/>
        </w:rPr>
        <w:t xml:space="preserve">Produits de bois d’œuvre </w:t>
      </w:r>
      <w:r w:rsidRPr="00A83CE0">
        <w:rPr>
          <w:bCs/>
          <w:color w:val="000000"/>
          <w:sz w:val="12"/>
          <w:szCs w:val="12"/>
        </w:rPr>
        <w:t xml:space="preserve">et rembourser au </w:t>
      </w:r>
      <w:r w:rsidR="003F3FC3">
        <w:rPr>
          <w:bCs/>
          <w:color w:val="000000"/>
          <w:sz w:val="12"/>
          <w:szCs w:val="12"/>
        </w:rPr>
        <w:t>Client</w:t>
      </w:r>
      <w:r w:rsidRPr="00A83CE0">
        <w:rPr>
          <w:bCs/>
          <w:color w:val="000000"/>
          <w:sz w:val="12"/>
          <w:szCs w:val="12"/>
        </w:rPr>
        <w:t xml:space="preserve"> les </w:t>
      </w:r>
      <w:r w:rsidR="006214C1">
        <w:rPr>
          <w:bCs/>
          <w:color w:val="000000"/>
          <w:sz w:val="12"/>
          <w:szCs w:val="12"/>
        </w:rPr>
        <w:t>montant</w:t>
      </w:r>
      <w:r w:rsidRPr="00A83CE0">
        <w:rPr>
          <w:bCs/>
          <w:color w:val="000000"/>
          <w:sz w:val="12"/>
          <w:szCs w:val="12"/>
        </w:rPr>
        <w:t xml:space="preserve">s payés relativement à cette partie des </w:t>
      </w:r>
      <w:r w:rsidR="002B6D29">
        <w:rPr>
          <w:bCs/>
          <w:color w:val="000000"/>
          <w:sz w:val="12"/>
          <w:szCs w:val="12"/>
        </w:rPr>
        <w:t>P</w:t>
      </w:r>
      <w:r w:rsidRPr="00A83CE0">
        <w:rPr>
          <w:bCs/>
          <w:color w:val="000000"/>
          <w:sz w:val="12"/>
          <w:szCs w:val="12"/>
        </w:rPr>
        <w:t>roduits de bois d’</w:t>
      </w:r>
      <w:r w:rsidR="006214C1" w:rsidRPr="00A83CE0">
        <w:rPr>
          <w:bCs/>
          <w:color w:val="000000"/>
          <w:sz w:val="12"/>
          <w:szCs w:val="12"/>
        </w:rPr>
        <w:t>œuvre</w:t>
      </w:r>
      <w:r w:rsidRPr="00A83CE0">
        <w:rPr>
          <w:bCs/>
          <w:color w:val="000000"/>
          <w:sz w:val="12"/>
          <w:szCs w:val="12"/>
        </w:rPr>
        <w:t>.</w:t>
      </w:r>
    </w:p>
    <w:p w14:paraId="5DC55023" w14:textId="77777777" w:rsidR="003C1728" w:rsidRPr="00A83CE0" w:rsidRDefault="003C1728" w:rsidP="003C1728">
      <w:pPr>
        <w:pStyle w:val="ListParagraph"/>
        <w:tabs>
          <w:tab w:val="left" w:pos="652"/>
        </w:tabs>
        <w:spacing w:after="120"/>
        <w:ind w:right="40"/>
        <w:rPr>
          <w:bCs/>
          <w:color w:val="000000"/>
          <w:sz w:val="12"/>
          <w:szCs w:val="12"/>
        </w:rPr>
      </w:pPr>
    </w:p>
    <w:p w14:paraId="184E803A" w14:textId="0576BAAE" w:rsidR="005A01A8" w:rsidRPr="00A83CE0" w:rsidRDefault="00C60686" w:rsidP="00A83CE0">
      <w:pPr>
        <w:pStyle w:val="ListParagraph"/>
        <w:numPr>
          <w:ilvl w:val="0"/>
          <w:numId w:val="2"/>
        </w:numPr>
        <w:tabs>
          <w:tab w:val="left" w:pos="652"/>
        </w:tabs>
        <w:spacing w:after="120"/>
        <w:ind w:right="40"/>
        <w:rPr>
          <w:bCs/>
          <w:color w:val="000000"/>
          <w:sz w:val="12"/>
          <w:szCs w:val="12"/>
        </w:rPr>
      </w:pPr>
      <w:r w:rsidRPr="00A83CE0">
        <w:rPr>
          <w:b/>
          <w:color w:val="000000"/>
          <w:sz w:val="12"/>
          <w:szCs w:val="12"/>
        </w:rPr>
        <w:t>LIMITATION DE LA RESPONSABILITÉ</w:t>
      </w:r>
      <w:r w:rsidRPr="002F5D8F">
        <w:rPr>
          <w:bCs/>
          <w:color w:val="000000"/>
          <w:sz w:val="12"/>
          <w:szCs w:val="12"/>
        </w:rPr>
        <w:t>.</w:t>
      </w:r>
      <w:r w:rsidRPr="00A83CE0">
        <w:rPr>
          <w:bCs/>
          <w:color w:val="000000"/>
          <w:sz w:val="12"/>
          <w:szCs w:val="12"/>
        </w:rPr>
        <w:t xml:space="preserve"> </w:t>
      </w:r>
      <w:r w:rsidR="005A01A8" w:rsidRPr="00A83CE0">
        <w:rPr>
          <w:bCs/>
          <w:color w:val="000000"/>
          <w:sz w:val="12"/>
          <w:szCs w:val="12"/>
        </w:rPr>
        <w:t>INTERFOR NE SERA</w:t>
      </w:r>
      <w:r w:rsidR="0094325E">
        <w:rPr>
          <w:bCs/>
          <w:color w:val="000000"/>
          <w:sz w:val="12"/>
          <w:szCs w:val="12"/>
        </w:rPr>
        <w:t xml:space="preserve"> PAS TENUE</w:t>
      </w:r>
      <w:r w:rsidR="005A01A8" w:rsidRPr="00A83CE0">
        <w:rPr>
          <w:bCs/>
          <w:color w:val="000000"/>
          <w:sz w:val="12"/>
          <w:szCs w:val="12"/>
        </w:rPr>
        <w:t xml:space="preserve"> RESPONSABLE </w:t>
      </w:r>
      <w:r w:rsidR="00711DB2">
        <w:rPr>
          <w:bCs/>
          <w:color w:val="000000"/>
          <w:sz w:val="12"/>
          <w:szCs w:val="12"/>
        </w:rPr>
        <w:t>ENVERS LE</w:t>
      </w:r>
      <w:r w:rsidR="005A01A8" w:rsidRPr="00A83CE0">
        <w:rPr>
          <w:bCs/>
          <w:color w:val="000000"/>
          <w:sz w:val="12"/>
          <w:szCs w:val="12"/>
        </w:rPr>
        <w:t xml:space="preserve"> </w:t>
      </w:r>
      <w:r w:rsidR="003F3FC3">
        <w:rPr>
          <w:bCs/>
          <w:color w:val="000000"/>
          <w:sz w:val="12"/>
          <w:szCs w:val="12"/>
        </w:rPr>
        <w:t>CLIENT</w:t>
      </w:r>
      <w:r w:rsidR="005A01A8" w:rsidRPr="00A83CE0">
        <w:rPr>
          <w:bCs/>
          <w:color w:val="000000"/>
          <w:sz w:val="12"/>
          <w:szCs w:val="12"/>
        </w:rPr>
        <w:t xml:space="preserve">, </w:t>
      </w:r>
      <w:r w:rsidR="00711DB2">
        <w:rPr>
          <w:bCs/>
          <w:color w:val="000000"/>
          <w:sz w:val="12"/>
          <w:szCs w:val="12"/>
        </w:rPr>
        <w:t>S</w:t>
      </w:r>
      <w:r w:rsidR="005A01A8" w:rsidRPr="00A83CE0">
        <w:rPr>
          <w:bCs/>
          <w:color w:val="000000"/>
          <w:sz w:val="12"/>
          <w:szCs w:val="12"/>
        </w:rPr>
        <w:t xml:space="preserve">ES </w:t>
      </w:r>
      <w:r w:rsidR="003F3FC3">
        <w:rPr>
          <w:bCs/>
          <w:color w:val="000000"/>
          <w:sz w:val="12"/>
          <w:szCs w:val="12"/>
        </w:rPr>
        <w:t>CLIENT</w:t>
      </w:r>
      <w:r w:rsidR="005A01A8" w:rsidRPr="00A83CE0">
        <w:rPr>
          <w:bCs/>
          <w:color w:val="000000"/>
          <w:sz w:val="12"/>
          <w:szCs w:val="12"/>
        </w:rPr>
        <w:t xml:space="preserve">S OU UN AUTRE TIERS </w:t>
      </w:r>
      <w:r w:rsidR="00711DB2">
        <w:rPr>
          <w:bCs/>
          <w:color w:val="000000"/>
          <w:sz w:val="12"/>
          <w:szCs w:val="12"/>
        </w:rPr>
        <w:t>POUR TOUT</w:t>
      </w:r>
      <w:r w:rsidR="00C04343">
        <w:rPr>
          <w:bCs/>
          <w:color w:val="000000"/>
          <w:sz w:val="12"/>
          <w:szCs w:val="12"/>
        </w:rPr>
        <w:t xml:space="preserve"> </w:t>
      </w:r>
      <w:r w:rsidR="005A01A8" w:rsidRPr="00A83CE0">
        <w:rPr>
          <w:bCs/>
          <w:color w:val="000000"/>
          <w:sz w:val="12"/>
          <w:szCs w:val="12"/>
        </w:rPr>
        <w:t>PRÉJUDICE OU DOMMAGE</w:t>
      </w:r>
      <w:r w:rsidR="00CE6B5D">
        <w:rPr>
          <w:bCs/>
          <w:color w:val="000000"/>
          <w:sz w:val="12"/>
          <w:szCs w:val="12"/>
        </w:rPr>
        <w:t xml:space="preserve"> (</w:t>
      </w:r>
      <w:r w:rsidR="005A01A8" w:rsidRPr="00A83CE0">
        <w:rPr>
          <w:bCs/>
          <w:color w:val="000000"/>
          <w:sz w:val="12"/>
          <w:szCs w:val="12"/>
        </w:rPr>
        <w:t xml:space="preserve">À MOINS QU’IL NE SOIT CAUSÉ PAR UNE </w:t>
      </w:r>
      <w:r w:rsidR="00F72D48">
        <w:rPr>
          <w:bCs/>
          <w:color w:val="000000"/>
          <w:sz w:val="12"/>
          <w:szCs w:val="12"/>
        </w:rPr>
        <w:t>INCONDUITE VOLONTAIRE</w:t>
      </w:r>
      <w:r w:rsidR="005A01A8" w:rsidRPr="00A83CE0">
        <w:rPr>
          <w:bCs/>
          <w:color w:val="000000"/>
          <w:sz w:val="12"/>
          <w:szCs w:val="12"/>
        </w:rPr>
        <w:t xml:space="preserve"> OU UNE </w:t>
      </w:r>
      <w:r w:rsidR="008A5257">
        <w:rPr>
          <w:bCs/>
          <w:color w:val="000000"/>
          <w:sz w:val="12"/>
          <w:szCs w:val="12"/>
        </w:rPr>
        <w:t>FAUTE LOURDE</w:t>
      </w:r>
      <w:r w:rsidR="005A01A8" w:rsidRPr="00A83CE0">
        <w:rPr>
          <w:bCs/>
          <w:color w:val="000000"/>
          <w:sz w:val="12"/>
          <w:szCs w:val="12"/>
        </w:rPr>
        <w:t xml:space="preserve"> D’INTERFOR</w:t>
      </w:r>
      <w:r w:rsidR="00CE6B5D">
        <w:rPr>
          <w:bCs/>
          <w:color w:val="000000"/>
          <w:sz w:val="12"/>
          <w:szCs w:val="12"/>
        </w:rPr>
        <w:t>)</w:t>
      </w:r>
      <w:r w:rsidR="005A01A8" w:rsidRPr="00A83CE0">
        <w:rPr>
          <w:bCs/>
          <w:color w:val="000000"/>
          <w:sz w:val="12"/>
          <w:szCs w:val="12"/>
        </w:rPr>
        <w:t xml:space="preserve"> OU P</w:t>
      </w:r>
      <w:r w:rsidR="00A01CDE">
        <w:rPr>
          <w:bCs/>
          <w:color w:val="000000"/>
          <w:sz w:val="12"/>
          <w:szCs w:val="12"/>
        </w:rPr>
        <w:t>OUR</w:t>
      </w:r>
      <w:r w:rsidR="005A01A8" w:rsidRPr="00A83CE0">
        <w:rPr>
          <w:bCs/>
          <w:color w:val="000000"/>
          <w:sz w:val="12"/>
          <w:szCs w:val="12"/>
        </w:rPr>
        <w:t xml:space="preserve"> </w:t>
      </w:r>
      <w:r w:rsidR="004821B1">
        <w:rPr>
          <w:bCs/>
          <w:color w:val="000000"/>
          <w:sz w:val="12"/>
          <w:szCs w:val="12"/>
        </w:rPr>
        <w:t xml:space="preserve">TOUT </w:t>
      </w:r>
      <w:r w:rsidR="005A01A8" w:rsidRPr="00A83CE0">
        <w:rPr>
          <w:bCs/>
          <w:color w:val="000000"/>
          <w:sz w:val="12"/>
          <w:szCs w:val="12"/>
        </w:rPr>
        <w:t>PRÉ</w:t>
      </w:r>
      <w:r w:rsidR="00774B14">
        <w:rPr>
          <w:bCs/>
          <w:color w:val="000000"/>
          <w:sz w:val="12"/>
          <w:szCs w:val="12"/>
        </w:rPr>
        <w:t>JUDICE</w:t>
      </w:r>
      <w:r w:rsidR="005A01A8" w:rsidRPr="00A83CE0">
        <w:rPr>
          <w:bCs/>
          <w:color w:val="000000"/>
          <w:sz w:val="12"/>
          <w:szCs w:val="12"/>
        </w:rPr>
        <w:t xml:space="preserve"> </w:t>
      </w:r>
      <w:r w:rsidR="004821B1">
        <w:rPr>
          <w:bCs/>
          <w:color w:val="000000"/>
          <w:sz w:val="12"/>
          <w:szCs w:val="12"/>
        </w:rPr>
        <w:t xml:space="preserve">OU PERTE </w:t>
      </w:r>
      <w:r w:rsidR="000659E4">
        <w:rPr>
          <w:bCs/>
          <w:color w:val="000000"/>
          <w:sz w:val="12"/>
          <w:szCs w:val="12"/>
        </w:rPr>
        <w:t xml:space="preserve">À L’ÉGARD DES AFFAIRES, </w:t>
      </w:r>
      <w:r w:rsidR="00511213">
        <w:rPr>
          <w:bCs/>
          <w:color w:val="000000"/>
          <w:sz w:val="12"/>
          <w:szCs w:val="12"/>
        </w:rPr>
        <w:t>D</w:t>
      </w:r>
      <w:r w:rsidR="005A01A8" w:rsidRPr="00A83CE0">
        <w:rPr>
          <w:bCs/>
          <w:color w:val="000000"/>
          <w:sz w:val="12"/>
          <w:szCs w:val="12"/>
        </w:rPr>
        <w:t>ES BÉNÉFICES</w:t>
      </w:r>
      <w:r w:rsidR="00511213">
        <w:rPr>
          <w:bCs/>
          <w:color w:val="000000"/>
          <w:sz w:val="12"/>
          <w:szCs w:val="12"/>
        </w:rPr>
        <w:t>, DES PROFITS</w:t>
      </w:r>
      <w:r w:rsidR="005A01A8" w:rsidRPr="00A83CE0">
        <w:rPr>
          <w:bCs/>
          <w:color w:val="000000"/>
          <w:sz w:val="12"/>
          <w:szCs w:val="12"/>
        </w:rPr>
        <w:t xml:space="preserve"> OU </w:t>
      </w:r>
      <w:r w:rsidR="00511213">
        <w:rPr>
          <w:bCs/>
          <w:color w:val="000000"/>
          <w:sz w:val="12"/>
          <w:szCs w:val="12"/>
        </w:rPr>
        <w:t>DU</w:t>
      </w:r>
      <w:r w:rsidR="005A01A8" w:rsidRPr="00A83CE0">
        <w:rPr>
          <w:bCs/>
          <w:color w:val="000000"/>
          <w:sz w:val="12"/>
          <w:szCs w:val="12"/>
        </w:rPr>
        <w:t xml:space="preserve"> GOODWILL </w:t>
      </w:r>
      <w:r w:rsidR="00511213">
        <w:rPr>
          <w:bCs/>
          <w:color w:val="000000"/>
          <w:sz w:val="12"/>
          <w:szCs w:val="12"/>
        </w:rPr>
        <w:t>SUBI OU ENCOURU PAR</w:t>
      </w:r>
      <w:r w:rsidR="005A01A8" w:rsidRPr="00A83CE0">
        <w:rPr>
          <w:bCs/>
          <w:color w:val="000000"/>
          <w:sz w:val="12"/>
          <w:szCs w:val="12"/>
        </w:rPr>
        <w:t xml:space="preserve"> TOUTE PERSONNE, Y COMPRIS LE </w:t>
      </w:r>
      <w:r w:rsidR="003F3FC3">
        <w:rPr>
          <w:bCs/>
          <w:color w:val="000000"/>
          <w:sz w:val="12"/>
          <w:szCs w:val="12"/>
        </w:rPr>
        <w:t>CLIENT</w:t>
      </w:r>
      <w:r w:rsidR="005A01A8" w:rsidRPr="00A83CE0">
        <w:rPr>
          <w:bCs/>
          <w:color w:val="000000"/>
          <w:sz w:val="12"/>
          <w:szCs w:val="12"/>
        </w:rPr>
        <w:t xml:space="preserve"> ET SES </w:t>
      </w:r>
      <w:r w:rsidR="003F3FC3">
        <w:rPr>
          <w:bCs/>
          <w:color w:val="000000"/>
          <w:sz w:val="12"/>
          <w:szCs w:val="12"/>
        </w:rPr>
        <w:t>CLIENT</w:t>
      </w:r>
      <w:r w:rsidR="005A01A8" w:rsidRPr="00A83CE0">
        <w:rPr>
          <w:bCs/>
          <w:color w:val="000000"/>
          <w:sz w:val="12"/>
          <w:szCs w:val="12"/>
        </w:rPr>
        <w:t xml:space="preserve">S, CAUSÉ DIRECTEMENT OU INDIRECTEMENT PAR </w:t>
      </w:r>
      <w:r w:rsidR="00AF2448">
        <w:rPr>
          <w:bCs/>
          <w:color w:val="000000"/>
          <w:sz w:val="12"/>
          <w:szCs w:val="12"/>
        </w:rPr>
        <w:t>DES</w:t>
      </w:r>
      <w:r w:rsidR="005A01A8" w:rsidRPr="00A83CE0">
        <w:rPr>
          <w:bCs/>
          <w:color w:val="000000"/>
          <w:sz w:val="12"/>
          <w:szCs w:val="12"/>
        </w:rPr>
        <w:t xml:space="preserve"> </w:t>
      </w:r>
      <w:r w:rsidR="0079793D">
        <w:rPr>
          <w:bCs/>
          <w:color w:val="000000"/>
          <w:sz w:val="12"/>
          <w:szCs w:val="12"/>
        </w:rPr>
        <w:t xml:space="preserve">PRODUITS DE BOIS D’ŒUVRE </w:t>
      </w:r>
      <w:r w:rsidR="005A01A8" w:rsidRPr="00A83CE0">
        <w:rPr>
          <w:bCs/>
          <w:color w:val="000000"/>
          <w:sz w:val="12"/>
          <w:szCs w:val="12"/>
        </w:rPr>
        <w:t>VENDU</w:t>
      </w:r>
      <w:r w:rsidR="002E08ED">
        <w:rPr>
          <w:bCs/>
          <w:color w:val="000000"/>
          <w:sz w:val="12"/>
          <w:szCs w:val="12"/>
        </w:rPr>
        <w:t>S</w:t>
      </w:r>
      <w:r w:rsidR="005A01A8" w:rsidRPr="00A83CE0">
        <w:rPr>
          <w:bCs/>
          <w:color w:val="000000"/>
          <w:sz w:val="12"/>
          <w:szCs w:val="12"/>
        </w:rPr>
        <w:t xml:space="preserve"> AUX TERMES DE LA </w:t>
      </w:r>
      <w:r w:rsidR="00292D2B">
        <w:rPr>
          <w:bCs/>
          <w:color w:val="000000"/>
          <w:sz w:val="12"/>
          <w:szCs w:val="12"/>
        </w:rPr>
        <w:t>CONVENTION</w:t>
      </w:r>
      <w:r w:rsidR="005A01A8" w:rsidRPr="00A83CE0">
        <w:rPr>
          <w:bCs/>
          <w:color w:val="000000"/>
          <w:sz w:val="12"/>
          <w:szCs w:val="12"/>
        </w:rPr>
        <w:t xml:space="preserve"> OU LIÉS À CE</w:t>
      </w:r>
      <w:r w:rsidR="00AF2448">
        <w:rPr>
          <w:bCs/>
          <w:color w:val="000000"/>
          <w:sz w:val="12"/>
          <w:szCs w:val="12"/>
        </w:rPr>
        <w:t>UX</w:t>
      </w:r>
      <w:r w:rsidR="005A01A8" w:rsidRPr="00A83CE0">
        <w:rPr>
          <w:bCs/>
          <w:color w:val="000000"/>
          <w:sz w:val="12"/>
          <w:szCs w:val="12"/>
        </w:rPr>
        <w:t xml:space="preserve">-CI, ET EN AUCUN CAS </w:t>
      </w:r>
      <w:r w:rsidR="003471EC">
        <w:rPr>
          <w:bCs/>
          <w:color w:val="000000"/>
          <w:sz w:val="12"/>
          <w:szCs w:val="12"/>
        </w:rPr>
        <w:t xml:space="preserve">INTERFOR NE SERA TENUE </w:t>
      </w:r>
      <w:r w:rsidR="005A01A8" w:rsidRPr="00A83CE0">
        <w:rPr>
          <w:bCs/>
          <w:color w:val="000000"/>
          <w:sz w:val="12"/>
          <w:szCs w:val="12"/>
        </w:rPr>
        <w:t xml:space="preserve">RESPONSABLE </w:t>
      </w:r>
      <w:r w:rsidR="003471EC">
        <w:rPr>
          <w:bCs/>
          <w:color w:val="000000"/>
          <w:sz w:val="12"/>
          <w:szCs w:val="12"/>
        </w:rPr>
        <w:t>POUR</w:t>
      </w:r>
      <w:r w:rsidR="005A01A8" w:rsidRPr="00A83CE0">
        <w:rPr>
          <w:bCs/>
          <w:color w:val="000000"/>
          <w:sz w:val="12"/>
          <w:szCs w:val="12"/>
        </w:rPr>
        <w:t xml:space="preserve"> TOUT </w:t>
      </w:r>
      <w:r w:rsidR="003471EC">
        <w:rPr>
          <w:bCs/>
          <w:color w:val="000000"/>
          <w:sz w:val="12"/>
          <w:szCs w:val="12"/>
        </w:rPr>
        <w:t xml:space="preserve">DOMMAGE </w:t>
      </w:r>
      <w:r w:rsidR="00482B53">
        <w:rPr>
          <w:bCs/>
          <w:color w:val="000000"/>
          <w:sz w:val="12"/>
          <w:szCs w:val="12"/>
        </w:rPr>
        <w:t>ACCESSOIRE</w:t>
      </w:r>
      <w:r w:rsidR="004C21EF">
        <w:rPr>
          <w:bCs/>
          <w:color w:val="000000"/>
          <w:sz w:val="12"/>
          <w:szCs w:val="12"/>
        </w:rPr>
        <w:t>, INDIRECT OU CONSÉCUTIF</w:t>
      </w:r>
      <w:r w:rsidR="005A01A8" w:rsidRPr="00A83CE0">
        <w:rPr>
          <w:bCs/>
          <w:color w:val="000000"/>
          <w:sz w:val="12"/>
          <w:szCs w:val="12"/>
        </w:rPr>
        <w:t xml:space="preserve"> SUBI PAR LE </w:t>
      </w:r>
      <w:r w:rsidR="003F3FC3">
        <w:rPr>
          <w:bCs/>
          <w:color w:val="000000"/>
          <w:sz w:val="12"/>
          <w:szCs w:val="12"/>
        </w:rPr>
        <w:t>CLIENT</w:t>
      </w:r>
      <w:r w:rsidR="005A01A8" w:rsidRPr="00A83CE0">
        <w:rPr>
          <w:bCs/>
          <w:color w:val="000000"/>
          <w:sz w:val="12"/>
          <w:szCs w:val="12"/>
        </w:rPr>
        <w:t xml:space="preserve">, SES </w:t>
      </w:r>
      <w:r w:rsidR="003F3FC3">
        <w:rPr>
          <w:bCs/>
          <w:color w:val="000000"/>
          <w:sz w:val="12"/>
          <w:szCs w:val="12"/>
        </w:rPr>
        <w:t>CLIENT</w:t>
      </w:r>
      <w:r w:rsidR="005A01A8" w:rsidRPr="00A83CE0">
        <w:rPr>
          <w:bCs/>
          <w:color w:val="000000"/>
          <w:sz w:val="12"/>
          <w:szCs w:val="12"/>
        </w:rPr>
        <w:t>S OU TOUT AUTRE TIERS, MÊME SI INTERFOR A ÉTÉ INFORMÉE DE LA POSSIBILITÉ D</w:t>
      </w:r>
      <w:r w:rsidR="00854488">
        <w:rPr>
          <w:bCs/>
          <w:color w:val="000000"/>
          <w:sz w:val="12"/>
          <w:szCs w:val="12"/>
        </w:rPr>
        <w:t>E CELUI-CI</w:t>
      </w:r>
      <w:r w:rsidR="005A01A8" w:rsidRPr="00A83CE0">
        <w:rPr>
          <w:bCs/>
          <w:color w:val="000000"/>
          <w:sz w:val="12"/>
          <w:szCs w:val="12"/>
        </w:rPr>
        <w:t>.</w:t>
      </w:r>
    </w:p>
    <w:p w14:paraId="1E7CE1FC" w14:textId="75B45F7A" w:rsidR="00E03477" w:rsidRPr="003761F9" w:rsidRDefault="00C60686" w:rsidP="003761F9">
      <w:pPr>
        <w:pStyle w:val="ListParagraph"/>
        <w:numPr>
          <w:ilvl w:val="0"/>
          <w:numId w:val="2"/>
        </w:numPr>
        <w:tabs>
          <w:tab w:val="left" w:pos="652"/>
        </w:tabs>
        <w:spacing w:after="120"/>
        <w:ind w:right="40"/>
        <w:rPr>
          <w:sz w:val="12"/>
          <w:szCs w:val="12"/>
        </w:rPr>
      </w:pPr>
      <w:r w:rsidRPr="003761F9">
        <w:rPr>
          <w:b/>
          <w:color w:val="000000"/>
          <w:sz w:val="12"/>
          <w:szCs w:val="12"/>
        </w:rPr>
        <w:t>FORCE MAJEURE</w:t>
      </w:r>
      <w:r w:rsidRPr="003761F9">
        <w:rPr>
          <w:bCs/>
          <w:color w:val="000000"/>
          <w:sz w:val="12"/>
          <w:szCs w:val="12"/>
        </w:rPr>
        <w:t>.</w:t>
      </w:r>
      <w:r w:rsidRPr="003761F9">
        <w:rPr>
          <w:b/>
          <w:color w:val="000000"/>
          <w:sz w:val="12"/>
          <w:szCs w:val="12"/>
        </w:rPr>
        <w:t xml:space="preserve"> </w:t>
      </w:r>
      <w:r w:rsidR="005A01A8" w:rsidRPr="003761F9">
        <w:rPr>
          <w:bCs/>
          <w:color w:val="000000"/>
          <w:sz w:val="12"/>
          <w:szCs w:val="12"/>
        </w:rPr>
        <w:t>Si l’exécution de l</w:t>
      </w:r>
      <w:r w:rsidR="00163CB8" w:rsidRPr="003761F9">
        <w:rPr>
          <w:bCs/>
          <w:color w:val="000000"/>
          <w:sz w:val="12"/>
          <w:szCs w:val="12"/>
        </w:rPr>
        <w:t xml:space="preserve">a </w:t>
      </w:r>
      <w:r w:rsidR="00292D2B">
        <w:rPr>
          <w:bCs/>
          <w:color w:val="000000"/>
          <w:sz w:val="12"/>
          <w:szCs w:val="12"/>
        </w:rPr>
        <w:t>Convention</w:t>
      </w:r>
      <w:r w:rsidR="005A01A8" w:rsidRPr="003761F9">
        <w:rPr>
          <w:bCs/>
          <w:color w:val="000000"/>
          <w:sz w:val="12"/>
          <w:szCs w:val="12"/>
        </w:rPr>
        <w:t xml:space="preserve"> ou d’une obligation aux termes de l</w:t>
      </w:r>
      <w:r w:rsidR="00DD7866" w:rsidRPr="003761F9">
        <w:rPr>
          <w:bCs/>
          <w:color w:val="000000"/>
          <w:sz w:val="12"/>
          <w:szCs w:val="12"/>
        </w:rPr>
        <w:t xml:space="preserve">a </w:t>
      </w:r>
      <w:r w:rsidR="00292D2B">
        <w:rPr>
          <w:bCs/>
          <w:color w:val="000000"/>
          <w:sz w:val="12"/>
          <w:szCs w:val="12"/>
        </w:rPr>
        <w:t>Convention</w:t>
      </w:r>
      <w:r w:rsidR="005A01A8" w:rsidRPr="003761F9">
        <w:rPr>
          <w:bCs/>
          <w:color w:val="000000"/>
          <w:sz w:val="12"/>
          <w:szCs w:val="12"/>
        </w:rPr>
        <w:t xml:space="preserve">, </w:t>
      </w:r>
      <w:r w:rsidR="00DD7866" w:rsidRPr="003761F9">
        <w:rPr>
          <w:bCs/>
          <w:color w:val="000000"/>
          <w:sz w:val="12"/>
          <w:szCs w:val="12"/>
        </w:rPr>
        <w:t>sauf le paiement de sommes</w:t>
      </w:r>
      <w:r w:rsidR="005A01A8" w:rsidRPr="003761F9">
        <w:rPr>
          <w:bCs/>
          <w:color w:val="000000"/>
          <w:sz w:val="12"/>
          <w:szCs w:val="12"/>
        </w:rPr>
        <w:t xml:space="preserve">, est empêchée ou </w:t>
      </w:r>
      <w:r w:rsidR="00DD7866" w:rsidRPr="003761F9">
        <w:rPr>
          <w:bCs/>
          <w:color w:val="000000"/>
          <w:sz w:val="12"/>
          <w:szCs w:val="12"/>
        </w:rPr>
        <w:t>restreint</w:t>
      </w:r>
      <w:r w:rsidR="005A01A8" w:rsidRPr="003761F9">
        <w:rPr>
          <w:bCs/>
          <w:color w:val="000000"/>
          <w:sz w:val="12"/>
          <w:szCs w:val="12"/>
        </w:rPr>
        <w:t xml:space="preserve">e en raison de conditions météorologiques défavorables, d’un incendie, d’une inondation, d’un tremblement de terre, d’une explosion ou d’un autre </w:t>
      </w:r>
      <w:r w:rsidR="001A16AB" w:rsidRPr="003761F9">
        <w:rPr>
          <w:bCs/>
          <w:color w:val="000000"/>
          <w:sz w:val="12"/>
          <w:szCs w:val="12"/>
        </w:rPr>
        <w:t xml:space="preserve">sinistre ou </w:t>
      </w:r>
      <w:r w:rsidR="005A01A8" w:rsidRPr="003761F9">
        <w:rPr>
          <w:bCs/>
          <w:color w:val="000000"/>
          <w:sz w:val="12"/>
          <w:szCs w:val="12"/>
        </w:rPr>
        <w:t xml:space="preserve">accident, d’une grève ou d’un conflit de travail, d’une incapacité ou de retards dans l’approvisionnement en transport, en fournitures ou en électricité, </w:t>
      </w:r>
      <w:r w:rsidR="005B1CE7" w:rsidRPr="003761F9">
        <w:rPr>
          <w:bCs/>
          <w:color w:val="000000"/>
          <w:sz w:val="12"/>
          <w:szCs w:val="12"/>
        </w:rPr>
        <w:t>d’un</w:t>
      </w:r>
      <w:r w:rsidR="005A01A8" w:rsidRPr="003761F9">
        <w:rPr>
          <w:bCs/>
          <w:color w:val="000000"/>
          <w:sz w:val="12"/>
          <w:szCs w:val="12"/>
        </w:rPr>
        <w:t xml:space="preserve"> acte de guerre, </w:t>
      </w:r>
      <w:r w:rsidR="003D5D49" w:rsidRPr="003761F9">
        <w:rPr>
          <w:bCs/>
          <w:color w:val="000000"/>
          <w:sz w:val="12"/>
          <w:szCs w:val="12"/>
        </w:rPr>
        <w:t>du</w:t>
      </w:r>
      <w:r w:rsidR="005A01A8" w:rsidRPr="003761F9">
        <w:rPr>
          <w:bCs/>
          <w:color w:val="000000"/>
          <w:sz w:val="12"/>
          <w:szCs w:val="12"/>
        </w:rPr>
        <w:t xml:space="preserve"> terrorisme ou </w:t>
      </w:r>
      <w:r w:rsidR="003D5D49" w:rsidRPr="003761F9">
        <w:rPr>
          <w:bCs/>
          <w:color w:val="000000"/>
          <w:sz w:val="12"/>
          <w:szCs w:val="12"/>
        </w:rPr>
        <w:t>d’</w:t>
      </w:r>
      <w:r w:rsidR="005A01A8" w:rsidRPr="003761F9">
        <w:rPr>
          <w:bCs/>
          <w:color w:val="000000"/>
          <w:sz w:val="12"/>
          <w:szCs w:val="12"/>
        </w:rPr>
        <w:t xml:space="preserve">actes de violence, </w:t>
      </w:r>
      <w:r w:rsidR="005D59CE" w:rsidRPr="003761F9">
        <w:rPr>
          <w:bCs/>
          <w:color w:val="000000"/>
          <w:sz w:val="12"/>
          <w:szCs w:val="12"/>
        </w:rPr>
        <w:t>d’une loi, d’une</w:t>
      </w:r>
      <w:r w:rsidR="005A01A8" w:rsidRPr="003761F9">
        <w:rPr>
          <w:bCs/>
          <w:color w:val="000000"/>
          <w:sz w:val="12"/>
          <w:szCs w:val="12"/>
        </w:rPr>
        <w:t xml:space="preserve"> ordonnance</w:t>
      </w:r>
      <w:r w:rsidR="005D59CE" w:rsidRPr="003761F9">
        <w:rPr>
          <w:bCs/>
          <w:color w:val="000000"/>
          <w:sz w:val="12"/>
          <w:szCs w:val="12"/>
        </w:rPr>
        <w:t>, d’une proclamation, d’un règlement, d’une demande ou d’une exigence</w:t>
      </w:r>
      <w:r w:rsidR="009B0BE8" w:rsidRPr="003761F9">
        <w:rPr>
          <w:bCs/>
          <w:color w:val="000000"/>
          <w:sz w:val="12"/>
          <w:szCs w:val="12"/>
        </w:rPr>
        <w:t xml:space="preserve"> d’un organisme ou d’une autorité </w:t>
      </w:r>
      <w:r w:rsidR="002E08ED">
        <w:rPr>
          <w:bCs/>
          <w:color w:val="000000"/>
          <w:sz w:val="12"/>
          <w:szCs w:val="12"/>
        </w:rPr>
        <w:t>gouvernemental</w:t>
      </w:r>
      <w:r w:rsidR="009B5A2B">
        <w:rPr>
          <w:bCs/>
          <w:color w:val="000000"/>
          <w:sz w:val="12"/>
          <w:szCs w:val="12"/>
        </w:rPr>
        <w:t>e</w:t>
      </w:r>
      <w:r w:rsidR="005A01A8" w:rsidRPr="003761F9">
        <w:rPr>
          <w:color w:val="000000"/>
          <w:sz w:val="12"/>
          <w:szCs w:val="12"/>
        </w:rPr>
        <w:t xml:space="preserve"> </w:t>
      </w:r>
      <w:r w:rsidR="00E03477" w:rsidRPr="003761F9">
        <w:rPr>
          <w:color w:val="000000"/>
          <w:sz w:val="12"/>
          <w:szCs w:val="12"/>
        </w:rPr>
        <w:t>ou d’un autre acte</w:t>
      </w:r>
      <w:r w:rsidR="00563035" w:rsidRPr="003761F9">
        <w:rPr>
          <w:color w:val="000000"/>
          <w:sz w:val="12"/>
          <w:szCs w:val="12"/>
        </w:rPr>
        <w:t xml:space="preserve"> </w:t>
      </w:r>
      <w:r w:rsidR="009A0F09" w:rsidRPr="003761F9">
        <w:rPr>
          <w:color w:val="000000"/>
          <w:sz w:val="12"/>
          <w:szCs w:val="12"/>
        </w:rPr>
        <w:t>ou condition</w:t>
      </w:r>
      <w:r w:rsidR="00321B21" w:rsidRPr="003761F9">
        <w:rPr>
          <w:rFonts w:ascii="Times New Roman" w:eastAsiaTheme="minorHAnsi" w:hAnsi="Times New Roman" w:cs="Times New Roman"/>
          <w:color w:val="000000"/>
          <w:sz w:val="12"/>
          <w:szCs w:val="12"/>
        </w:rPr>
        <w:t xml:space="preserve"> </w:t>
      </w:r>
      <w:r w:rsidR="00321B21" w:rsidRPr="003761F9">
        <w:rPr>
          <w:color w:val="000000"/>
          <w:sz w:val="12"/>
          <w:szCs w:val="12"/>
        </w:rPr>
        <w:t xml:space="preserve">hors du contrôle ou indépendant de la volonté raisonnable de la partie touchée, la partie ainsi touchée, dès qu’elle en avise l’autre partie, en sera dispensée dans la mesure et pendant la durée de cet empêchement ou restriction; </w:t>
      </w:r>
      <w:r w:rsidR="00321B21" w:rsidRPr="003761F9">
        <w:rPr>
          <w:i/>
          <w:iCs/>
          <w:color w:val="000000"/>
          <w:sz w:val="12"/>
          <w:szCs w:val="12"/>
        </w:rPr>
        <w:t xml:space="preserve">étant entendu </w:t>
      </w:r>
      <w:r w:rsidR="006D1CE0" w:rsidRPr="003761F9">
        <w:rPr>
          <w:i/>
          <w:iCs/>
          <w:color w:val="000000"/>
          <w:sz w:val="12"/>
          <w:szCs w:val="12"/>
        </w:rPr>
        <w:t>toutefois</w:t>
      </w:r>
      <w:r w:rsidR="006D1CE0" w:rsidRPr="003761F9">
        <w:rPr>
          <w:color w:val="000000"/>
          <w:sz w:val="12"/>
          <w:szCs w:val="12"/>
        </w:rPr>
        <w:t xml:space="preserve"> </w:t>
      </w:r>
      <w:r w:rsidR="00321B21" w:rsidRPr="003761F9">
        <w:rPr>
          <w:color w:val="000000"/>
          <w:sz w:val="12"/>
          <w:szCs w:val="12"/>
        </w:rPr>
        <w:t>que la partie ainsi touchée pren</w:t>
      </w:r>
      <w:r w:rsidR="003D2FEB">
        <w:rPr>
          <w:color w:val="000000"/>
          <w:sz w:val="12"/>
          <w:szCs w:val="12"/>
        </w:rPr>
        <w:t>ne</w:t>
      </w:r>
      <w:r w:rsidR="00321B21" w:rsidRPr="003761F9">
        <w:rPr>
          <w:color w:val="000000"/>
          <w:sz w:val="12"/>
          <w:szCs w:val="12"/>
        </w:rPr>
        <w:t xml:space="preserve"> toutes les mesures raisonnables pour éviter ou éliminer ces causes d’inexécution </w:t>
      </w:r>
      <w:r w:rsidR="006D1CE0" w:rsidRPr="003761F9">
        <w:rPr>
          <w:color w:val="000000"/>
          <w:sz w:val="12"/>
          <w:szCs w:val="12"/>
        </w:rPr>
        <w:t xml:space="preserve">(qui n’obligeront pas une partie à régler </w:t>
      </w:r>
      <w:r w:rsidR="00834F71" w:rsidRPr="003761F9">
        <w:rPr>
          <w:color w:val="000000"/>
          <w:sz w:val="12"/>
          <w:szCs w:val="12"/>
        </w:rPr>
        <w:t xml:space="preserve">une grève ou </w:t>
      </w:r>
      <w:r w:rsidR="006D1CE0" w:rsidRPr="003761F9">
        <w:rPr>
          <w:color w:val="000000"/>
          <w:sz w:val="12"/>
          <w:szCs w:val="12"/>
        </w:rPr>
        <w:t xml:space="preserve">un conflit de travail à des conditions qui ne sont pas acceptables pour cette partie à sa seule et absolue </w:t>
      </w:r>
      <w:r w:rsidR="00D94CEF" w:rsidRPr="003761F9">
        <w:rPr>
          <w:color w:val="000000"/>
          <w:sz w:val="12"/>
          <w:szCs w:val="12"/>
        </w:rPr>
        <w:t>discré</w:t>
      </w:r>
      <w:r w:rsidR="006D1CE0" w:rsidRPr="003761F9">
        <w:rPr>
          <w:color w:val="000000"/>
          <w:sz w:val="12"/>
          <w:szCs w:val="12"/>
        </w:rPr>
        <w:t xml:space="preserve">tion) </w:t>
      </w:r>
      <w:r w:rsidR="00321B21" w:rsidRPr="003761F9">
        <w:rPr>
          <w:color w:val="000000"/>
          <w:sz w:val="12"/>
          <w:szCs w:val="12"/>
        </w:rPr>
        <w:t>et repren</w:t>
      </w:r>
      <w:r w:rsidR="003D2FEB">
        <w:rPr>
          <w:color w:val="000000"/>
          <w:sz w:val="12"/>
          <w:szCs w:val="12"/>
        </w:rPr>
        <w:t>ne</w:t>
      </w:r>
      <w:r w:rsidR="00321B21" w:rsidRPr="003761F9">
        <w:rPr>
          <w:color w:val="000000"/>
          <w:sz w:val="12"/>
          <w:szCs w:val="12"/>
        </w:rPr>
        <w:t xml:space="preserve"> l’exécution aux termes de la </w:t>
      </w:r>
      <w:r w:rsidR="00292D2B">
        <w:rPr>
          <w:color w:val="000000"/>
          <w:sz w:val="12"/>
          <w:szCs w:val="12"/>
        </w:rPr>
        <w:t>Convention</w:t>
      </w:r>
      <w:r w:rsidR="00321B21" w:rsidRPr="003761F9">
        <w:rPr>
          <w:color w:val="000000"/>
          <w:sz w:val="12"/>
          <w:szCs w:val="12"/>
        </w:rPr>
        <w:t xml:space="preserve"> lorsque ces causes cessent ou sont éliminées ou supprimées</w:t>
      </w:r>
      <w:r w:rsidR="00D94CEF" w:rsidRPr="00D94CEF">
        <w:rPr>
          <w:color w:val="000000"/>
          <w:sz w:val="12"/>
          <w:szCs w:val="12"/>
        </w:rPr>
        <w:t xml:space="preserve">; </w:t>
      </w:r>
      <w:r w:rsidR="00D94CEF" w:rsidRPr="00D94CEF">
        <w:rPr>
          <w:i/>
          <w:color w:val="000000"/>
          <w:sz w:val="12"/>
          <w:szCs w:val="12"/>
        </w:rPr>
        <w:t xml:space="preserve">il est entendu, en outre, </w:t>
      </w:r>
      <w:r w:rsidR="00D94CEF" w:rsidRPr="00D94CEF">
        <w:rPr>
          <w:color w:val="000000"/>
          <w:sz w:val="12"/>
          <w:szCs w:val="12"/>
        </w:rPr>
        <w:t xml:space="preserve">qu’en aucun cas Interfor ne sera tenue d’acheter des </w:t>
      </w:r>
      <w:r w:rsidR="0079793D">
        <w:rPr>
          <w:color w:val="000000"/>
          <w:sz w:val="12"/>
          <w:szCs w:val="12"/>
        </w:rPr>
        <w:t xml:space="preserve">Produits de bois d’œuvre </w:t>
      </w:r>
      <w:r w:rsidR="00D94CEF" w:rsidRPr="00D94CEF">
        <w:rPr>
          <w:color w:val="000000"/>
          <w:sz w:val="12"/>
          <w:szCs w:val="12"/>
        </w:rPr>
        <w:t xml:space="preserve">d’un tiers pour permettre à Interfor de livrer des </w:t>
      </w:r>
      <w:r w:rsidR="0079793D">
        <w:rPr>
          <w:color w:val="000000"/>
          <w:sz w:val="12"/>
          <w:szCs w:val="12"/>
        </w:rPr>
        <w:t xml:space="preserve">Produits de bois d’œuvre </w:t>
      </w:r>
      <w:r w:rsidR="00D94CEF" w:rsidRPr="00D94CEF">
        <w:rPr>
          <w:color w:val="000000"/>
          <w:sz w:val="12"/>
          <w:szCs w:val="12"/>
        </w:rPr>
        <w:t xml:space="preserve">au </w:t>
      </w:r>
      <w:r w:rsidR="003F3FC3">
        <w:rPr>
          <w:color w:val="000000"/>
          <w:sz w:val="12"/>
          <w:szCs w:val="12"/>
        </w:rPr>
        <w:t>Client</w:t>
      </w:r>
      <w:r w:rsidR="003761F9" w:rsidRPr="003761F9">
        <w:rPr>
          <w:color w:val="000000"/>
          <w:sz w:val="12"/>
          <w:szCs w:val="12"/>
        </w:rPr>
        <w:t>.</w:t>
      </w:r>
    </w:p>
    <w:p w14:paraId="71DC08FD" w14:textId="0304E06C" w:rsidR="005A01A8" w:rsidRPr="00A83CE0" w:rsidRDefault="00C60686" w:rsidP="00A83CE0">
      <w:pPr>
        <w:pStyle w:val="ListParagraph"/>
        <w:numPr>
          <w:ilvl w:val="0"/>
          <w:numId w:val="2"/>
        </w:numPr>
        <w:tabs>
          <w:tab w:val="left" w:pos="652"/>
        </w:tabs>
        <w:spacing w:after="120"/>
        <w:ind w:left="113" w:right="142"/>
        <w:rPr>
          <w:sz w:val="12"/>
          <w:szCs w:val="12"/>
        </w:rPr>
      </w:pPr>
      <w:r w:rsidRPr="00A83CE0">
        <w:rPr>
          <w:b/>
          <w:color w:val="000000"/>
          <w:sz w:val="12"/>
          <w:szCs w:val="12"/>
        </w:rPr>
        <w:t>CESSION</w:t>
      </w:r>
      <w:r w:rsidRPr="002F5D8F">
        <w:rPr>
          <w:bCs/>
          <w:color w:val="000000"/>
          <w:sz w:val="12"/>
          <w:szCs w:val="12"/>
        </w:rPr>
        <w:t>.</w:t>
      </w:r>
      <w:r w:rsidR="005A01A8" w:rsidRPr="00A83CE0">
        <w:rPr>
          <w:color w:val="000000"/>
          <w:sz w:val="12"/>
          <w:szCs w:val="12"/>
        </w:rPr>
        <w:t xml:space="preserve"> Le </w:t>
      </w:r>
      <w:r w:rsidR="003F3FC3">
        <w:rPr>
          <w:color w:val="000000"/>
          <w:sz w:val="12"/>
          <w:szCs w:val="12"/>
        </w:rPr>
        <w:t>Client</w:t>
      </w:r>
      <w:r w:rsidR="005A01A8" w:rsidRPr="00A83CE0">
        <w:rPr>
          <w:color w:val="000000"/>
          <w:sz w:val="12"/>
          <w:szCs w:val="12"/>
        </w:rPr>
        <w:t xml:space="preserve"> ne peut céder ni transférer la </w:t>
      </w:r>
      <w:r w:rsidR="00292D2B">
        <w:rPr>
          <w:color w:val="000000"/>
          <w:sz w:val="12"/>
          <w:szCs w:val="12"/>
        </w:rPr>
        <w:t>Convention</w:t>
      </w:r>
      <w:r w:rsidR="005A01A8" w:rsidRPr="00A83CE0">
        <w:rPr>
          <w:color w:val="000000"/>
          <w:sz w:val="12"/>
          <w:szCs w:val="12"/>
        </w:rPr>
        <w:t xml:space="preserve"> sans le consentement écrit préalable d’Interfor. Toute tentative de cession ou de transfert sans ce consentement est nulle et sans effet et Interfor n’a aucune obligation de livrer des </w:t>
      </w:r>
      <w:r w:rsidR="0079793D">
        <w:rPr>
          <w:color w:val="000000"/>
          <w:sz w:val="12"/>
          <w:szCs w:val="12"/>
        </w:rPr>
        <w:t xml:space="preserve">Produits de bois d’œuvre </w:t>
      </w:r>
      <w:r w:rsidR="005A01A8" w:rsidRPr="00A83CE0">
        <w:rPr>
          <w:color w:val="000000"/>
          <w:sz w:val="12"/>
          <w:szCs w:val="12"/>
        </w:rPr>
        <w:t>à une autre personne aux termes d’un tel</w:t>
      </w:r>
      <w:r w:rsidR="004C4033">
        <w:rPr>
          <w:color w:val="000000"/>
          <w:sz w:val="12"/>
          <w:szCs w:val="12"/>
        </w:rPr>
        <w:t xml:space="preserve"> </w:t>
      </w:r>
      <w:r w:rsidR="00925FC0">
        <w:rPr>
          <w:color w:val="000000"/>
          <w:sz w:val="12"/>
          <w:szCs w:val="12"/>
        </w:rPr>
        <w:t xml:space="preserve">prétendu </w:t>
      </w:r>
      <w:r w:rsidR="004C4033">
        <w:rPr>
          <w:color w:val="000000"/>
          <w:sz w:val="12"/>
          <w:szCs w:val="12"/>
        </w:rPr>
        <w:t>transfert ou</w:t>
      </w:r>
      <w:r w:rsidR="005A01A8" w:rsidRPr="00A83CE0">
        <w:rPr>
          <w:color w:val="000000"/>
          <w:sz w:val="12"/>
          <w:szCs w:val="12"/>
        </w:rPr>
        <w:t xml:space="preserve"> cession. La </w:t>
      </w:r>
      <w:r w:rsidR="00292D2B">
        <w:rPr>
          <w:color w:val="000000"/>
          <w:sz w:val="12"/>
          <w:szCs w:val="12"/>
        </w:rPr>
        <w:t>Convention</w:t>
      </w:r>
      <w:r w:rsidR="005A01A8" w:rsidRPr="00A83CE0">
        <w:rPr>
          <w:color w:val="000000"/>
          <w:sz w:val="12"/>
          <w:szCs w:val="12"/>
        </w:rPr>
        <w:t xml:space="preserve"> lie les successeurs et ayants droit autorisés respectifs des parties à la </w:t>
      </w:r>
      <w:r w:rsidR="00292D2B">
        <w:rPr>
          <w:color w:val="000000"/>
          <w:sz w:val="12"/>
          <w:szCs w:val="12"/>
        </w:rPr>
        <w:t>Convention</w:t>
      </w:r>
      <w:r w:rsidR="005A01A8" w:rsidRPr="00A83CE0">
        <w:rPr>
          <w:color w:val="000000"/>
          <w:sz w:val="12"/>
          <w:szCs w:val="12"/>
        </w:rPr>
        <w:t xml:space="preserve"> et s’applique à leur profit.</w:t>
      </w:r>
    </w:p>
    <w:p w14:paraId="56E8C30B" w14:textId="6EF3BF78" w:rsidR="005A01A8" w:rsidRPr="00A83CE0" w:rsidRDefault="00AF02F7" w:rsidP="00A83CE0">
      <w:pPr>
        <w:pStyle w:val="ListParagraph"/>
        <w:numPr>
          <w:ilvl w:val="0"/>
          <w:numId w:val="2"/>
        </w:numPr>
        <w:tabs>
          <w:tab w:val="left" w:pos="652"/>
        </w:tabs>
        <w:spacing w:after="120"/>
        <w:ind w:right="144"/>
        <w:rPr>
          <w:sz w:val="12"/>
          <w:szCs w:val="12"/>
        </w:rPr>
      </w:pPr>
      <w:r>
        <w:rPr>
          <w:b/>
          <w:color w:val="000000"/>
          <w:sz w:val="12"/>
          <w:szCs w:val="12"/>
        </w:rPr>
        <w:t>RÉSILIATION</w:t>
      </w:r>
      <w:r w:rsidR="005A01A8" w:rsidRPr="00A83CE0">
        <w:rPr>
          <w:b/>
          <w:color w:val="000000"/>
          <w:sz w:val="12"/>
          <w:szCs w:val="12"/>
        </w:rPr>
        <w:t xml:space="preserve"> ET DÉFAUT</w:t>
      </w:r>
      <w:r w:rsidR="005A01A8" w:rsidRPr="00A83CE0">
        <w:rPr>
          <w:color w:val="000000"/>
          <w:sz w:val="12"/>
          <w:szCs w:val="12"/>
        </w:rPr>
        <w:t xml:space="preserve">. Interfor peut résilier la </w:t>
      </w:r>
      <w:r w:rsidR="00292D2B">
        <w:rPr>
          <w:color w:val="000000"/>
          <w:sz w:val="12"/>
          <w:szCs w:val="12"/>
        </w:rPr>
        <w:t>Convention</w:t>
      </w:r>
      <w:r w:rsidR="005A01A8" w:rsidRPr="00A83CE0">
        <w:rPr>
          <w:color w:val="000000"/>
          <w:sz w:val="12"/>
          <w:szCs w:val="12"/>
        </w:rPr>
        <w:t xml:space="preserve"> sans </w:t>
      </w:r>
      <w:r w:rsidR="00C44DD5">
        <w:rPr>
          <w:color w:val="000000"/>
          <w:sz w:val="12"/>
          <w:szCs w:val="12"/>
        </w:rPr>
        <w:t xml:space="preserve">encourir de </w:t>
      </w:r>
      <w:r w:rsidR="005A01A8" w:rsidRPr="00A83CE0">
        <w:rPr>
          <w:color w:val="000000"/>
          <w:sz w:val="12"/>
          <w:szCs w:val="12"/>
        </w:rPr>
        <w:t xml:space="preserve">responsabilité </w:t>
      </w:r>
      <w:r w:rsidR="00CB7065">
        <w:rPr>
          <w:color w:val="000000"/>
          <w:sz w:val="12"/>
          <w:szCs w:val="12"/>
        </w:rPr>
        <w:t xml:space="preserve">en donnant </w:t>
      </w:r>
      <w:r w:rsidR="005A01A8" w:rsidRPr="00A83CE0">
        <w:rPr>
          <w:color w:val="000000"/>
          <w:sz w:val="12"/>
          <w:szCs w:val="12"/>
        </w:rPr>
        <w:t xml:space="preserve">un avis écrit de dix (10) jours au </w:t>
      </w:r>
      <w:r w:rsidR="003F3FC3">
        <w:rPr>
          <w:color w:val="000000"/>
          <w:sz w:val="12"/>
          <w:szCs w:val="12"/>
        </w:rPr>
        <w:t>Client</w:t>
      </w:r>
      <w:r w:rsidR="005A01A8" w:rsidRPr="00A83CE0">
        <w:rPr>
          <w:color w:val="000000"/>
          <w:sz w:val="12"/>
          <w:szCs w:val="12"/>
        </w:rPr>
        <w:t xml:space="preserve">, pour quelque raison que ce soit </w:t>
      </w:r>
      <w:r w:rsidR="00CB7065">
        <w:rPr>
          <w:color w:val="000000"/>
          <w:sz w:val="12"/>
          <w:szCs w:val="12"/>
        </w:rPr>
        <w:t xml:space="preserve">et à sa seule discrétion. </w:t>
      </w:r>
      <w:r w:rsidR="004F44A4">
        <w:rPr>
          <w:color w:val="000000"/>
          <w:sz w:val="12"/>
          <w:szCs w:val="12"/>
        </w:rPr>
        <w:t xml:space="preserve"> </w:t>
      </w:r>
      <w:r w:rsidR="005A01A8" w:rsidRPr="00A83CE0">
        <w:rPr>
          <w:color w:val="000000"/>
          <w:sz w:val="12"/>
          <w:szCs w:val="12"/>
        </w:rPr>
        <w:t xml:space="preserve">Interfor peut résilier la </w:t>
      </w:r>
      <w:r w:rsidR="00292D2B">
        <w:rPr>
          <w:color w:val="000000"/>
          <w:sz w:val="12"/>
          <w:szCs w:val="12"/>
        </w:rPr>
        <w:t>Convention</w:t>
      </w:r>
      <w:r w:rsidR="005A01A8" w:rsidRPr="00A83CE0">
        <w:rPr>
          <w:color w:val="000000"/>
          <w:sz w:val="12"/>
          <w:szCs w:val="12"/>
        </w:rPr>
        <w:t xml:space="preserve"> immédiatement</w:t>
      </w:r>
      <w:r w:rsidR="002D26C1">
        <w:rPr>
          <w:color w:val="000000"/>
          <w:sz w:val="12"/>
          <w:szCs w:val="12"/>
        </w:rPr>
        <w:t>,</w:t>
      </w:r>
      <w:r w:rsidR="005A01A8" w:rsidRPr="00A83CE0">
        <w:rPr>
          <w:color w:val="000000"/>
          <w:sz w:val="12"/>
          <w:szCs w:val="12"/>
        </w:rPr>
        <w:t xml:space="preserve"> en totalité ou en partie</w:t>
      </w:r>
      <w:r w:rsidR="002D26C1">
        <w:rPr>
          <w:color w:val="000000"/>
          <w:sz w:val="12"/>
          <w:szCs w:val="12"/>
        </w:rPr>
        <w:t>,</w:t>
      </w:r>
      <w:r w:rsidR="005A01A8" w:rsidRPr="00A83CE0">
        <w:rPr>
          <w:color w:val="000000"/>
          <w:sz w:val="12"/>
          <w:szCs w:val="12"/>
        </w:rPr>
        <w:t xml:space="preserve"> sans </w:t>
      </w:r>
      <w:r w:rsidR="00685982">
        <w:rPr>
          <w:color w:val="000000"/>
          <w:sz w:val="12"/>
          <w:szCs w:val="12"/>
        </w:rPr>
        <w:t xml:space="preserve">encourir de </w:t>
      </w:r>
      <w:r w:rsidR="005A01A8" w:rsidRPr="00A83CE0">
        <w:rPr>
          <w:color w:val="000000"/>
          <w:sz w:val="12"/>
          <w:szCs w:val="12"/>
        </w:rPr>
        <w:t xml:space="preserve">responsabilité </w:t>
      </w:r>
      <w:r w:rsidR="00C67D9C">
        <w:rPr>
          <w:color w:val="000000"/>
          <w:sz w:val="12"/>
          <w:szCs w:val="12"/>
        </w:rPr>
        <w:t>dans les cas suivants</w:t>
      </w:r>
      <w:r w:rsidR="005A01A8" w:rsidRPr="00A83CE0">
        <w:rPr>
          <w:color w:val="000000"/>
          <w:sz w:val="12"/>
          <w:szCs w:val="12"/>
        </w:rPr>
        <w:t xml:space="preserve"> : a) le </w:t>
      </w:r>
      <w:r w:rsidR="003F3FC3">
        <w:rPr>
          <w:color w:val="000000"/>
          <w:sz w:val="12"/>
          <w:szCs w:val="12"/>
        </w:rPr>
        <w:t>Client</w:t>
      </w:r>
      <w:r w:rsidR="005A01A8" w:rsidRPr="00A83CE0">
        <w:rPr>
          <w:color w:val="000000"/>
          <w:sz w:val="12"/>
          <w:szCs w:val="12"/>
        </w:rPr>
        <w:t xml:space="preserve"> </w:t>
      </w:r>
      <w:r w:rsidR="00C67D9C">
        <w:rPr>
          <w:color w:val="000000"/>
          <w:sz w:val="12"/>
          <w:szCs w:val="12"/>
        </w:rPr>
        <w:t>fait défaut de se conformer</w:t>
      </w:r>
      <w:r w:rsidR="004E2DDE">
        <w:rPr>
          <w:color w:val="000000"/>
          <w:sz w:val="12"/>
          <w:szCs w:val="12"/>
        </w:rPr>
        <w:t xml:space="preserve"> </w:t>
      </w:r>
      <w:r w:rsidR="00965760">
        <w:rPr>
          <w:color w:val="000000"/>
          <w:sz w:val="12"/>
          <w:szCs w:val="12"/>
        </w:rPr>
        <w:t xml:space="preserve">aux </w:t>
      </w:r>
      <w:r w:rsidR="004E2DDE">
        <w:rPr>
          <w:color w:val="000000"/>
          <w:sz w:val="12"/>
          <w:szCs w:val="12"/>
        </w:rPr>
        <w:t>modalités et</w:t>
      </w:r>
      <w:r w:rsidR="005A01A8" w:rsidRPr="00A83CE0">
        <w:rPr>
          <w:color w:val="000000"/>
          <w:sz w:val="12"/>
          <w:szCs w:val="12"/>
        </w:rPr>
        <w:t xml:space="preserve"> conditions de la </w:t>
      </w:r>
      <w:r w:rsidR="00292D2B">
        <w:rPr>
          <w:color w:val="000000"/>
          <w:sz w:val="12"/>
          <w:szCs w:val="12"/>
        </w:rPr>
        <w:t>Convention</w:t>
      </w:r>
      <w:r w:rsidR="005A01A8" w:rsidRPr="00A83CE0">
        <w:rPr>
          <w:color w:val="000000"/>
          <w:sz w:val="12"/>
          <w:szCs w:val="12"/>
        </w:rPr>
        <w:t xml:space="preserve">, </w:t>
      </w:r>
      <w:r w:rsidR="004E2DDE">
        <w:rPr>
          <w:color w:val="000000"/>
          <w:sz w:val="12"/>
          <w:szCs w:val="12"/>
        </w:rPr>
        <w:t xml:space="preserve">y compris, </w:t>
      </w:r>
      <w:r w:rsidR="005A01A8" w:rsidRPr="00A83CE0">
        <w:rPr>
          <w:color w:val="000000"/>
          <w:sz w:val="12"/>
          <w:szCs w:val="12"/>
        </w:rPr>
        <w:t xml:space="preserve">notamment le défaut de prendre livraison des </w:t>
      </w:r>
      <w:r w:rsidR="0079793D">
        <w:rPr>
          <w:color w:val="000000"/>
          <w:sz w:val="12"/>
          <w:szCs w:val="12"/>
        </w:rPr>
        <w:t xml:space="preserve">Produits de bois d’œuvre </w:t>
      </w:r>
      <w:r w:rsidR="005A01A8" w:rsidRPr="00A83CE0">
        <w:rPr>
          <w:color w:val="000000"/>
          <w:sz w:val="12"/>
          <w:szCs w:val="12"/>
        </w:rPr>
        <w:t xml:space="preserve">ou de les </w:t>
      </w:r>
      <w:r w:rsidR="00965760">
        <w:rPr>
          <w:color w:val="000000"/>
          <w:sz w:val="12"/>
          <w:szCs w:val="12"/>
        </w:rPr>
        <w:t xml:space="preserve">payer </w:t>
      </w:r>
      <w:r w:rsidR="005A01A8" w:rsidRPr="00A83CE0">
        <w:rPr>
          <w:color w:val="000000"/>
          <w:sz w:val="12"/>
          <w:szCs w:val="12"/>
        </w:rPr>
        <w:t xml:space="preserve"> en temps opportun; b) le </w:t>
      </w:r>
      <w:r w:rsidR="003F3FC3">
        <w:rPr>
          <w:color w:val="000000"/>
          <w:sz w:val="12"/>
          <w:szCs w:val="12"/>
        </w:rPr>
        <w:t>Client</w:t>
      </w:r>
      <w:r w:rsidR="005A01A8" w:rsidRPr="00A83CE0">
        <w:rPr>
          <w:color w:val="000000"/>
          <w:sz w:val="12"/>
          <w:szCs w:val="12"/>
        </w:rPr>
        <w:t xml:space="preserve"> ou, le cas échéant, son commandité ou sa société mère directe ou indirecte devient </w:t>
      </w:r>
      <w:r w:rsidR="003C3C83">
        <w:rPr>
          <w:color w:val="000000"/>
          <w:sz w:val="12"/>
          <w:szCs w:val="12"/>
        </w:rPr>
        <w:t xml:space="preserve">ou est réputé être </w:t>
      </w:r>
      <w:r w:rsidR="005A01A8" w:rsidRPr="00A83CE0">
        <w:rPr>
          <w:color w:val="000000"/>
          <w:sz w:val="12"/>
          <w:szCs w:val="12"/>
        </w:rPr>
        <w:t>insolvable ou faill</w:t>
      </w:r>
      <w:r w:rsidR="003C3C83">
        <w:rPr>
          <w:color w:val="000000"/>
          <w:sz w:val="12"/>
          <w:szCs w:val="12"/>
        </w:rPr>
        <w:t>i</w:t>
      </w:r>
      <w:r w:rsidR="005A01A8" w:rsidRPr="00A83CE0">
        <w:rPr>
          <w:color w:val="000000"/>
          <w:sz w:val="12"/>
          <w:szCs w:val="12"/>
        </w:rPr>
        <w:t xml:space="preserve">, ou </w:t>
      </w:r>
      <w:r w:rsidR="002F5325">
        <w:rPr>
          <w:color w:val="000000"/>
          <w:sz w:val="12"/>
          <w:szCs w:val="12"/>
        </w:rPr>
        <w:t>fait</w:t>
      </w:r>
      <w:r w:rsidR="005A01A8" w:rsidRPr="00A83CE0">
        <w:rPr>
          <w:color w:val="000000"/>
          <w:sz w:val="12"/>
          <w:szCs w:val="12"/>
        </w:rPr>
        <w:t xml:space="preserve"> une cession au profit des créanciers, ou </w:t>
      </w:r>
      <w:r w:rsidR="009C3876">
        <w:rPr>
          <w:color w:val="000000"/>
          <w:sz w:val="12"/>
          <w:szCs w:val="12"/>
        </w:rPr>
        <w:t xml:space="preserve">fait nommer </w:t>
      </w:r>
      <w:r w:rsidR="005A01A8" w:rsidRPr="00A83CE0">
        <w:rPr>
          <w:color w:val="000000"/>
          <w:sz w:val="12"/>
          <w:szCs w:val="12"/>
        </w:rPr>
        <w:t xml:space="preserve">un séquestre ou un </w:t>
      </w:r>
      <w:r w:rsidR="00487176">
        <w:rPr>
          <w:color w:val="000000"/>
          <w:sz w:val="12"/>
          <w:szCs w:val="12"/>
        </w:rPr>
        <w:t>syndic</w:t>
      </w:r>
      <w:r w:rsidR="005A01A8" w:rsidRPr="00A83CE0">
        <w:rPr>
          <w:color w:val="000000"/>
          <w:sz w:val="12"/>
          <w:szCs w:val="12"/>
        </w:rPr>
        <w:t xml:space="preserve">; c) les </w:t>
      </w:r>
      <w:r w:rsidR="009C3876">
        <w:rPr>
          <w:color w:val="000000"/>
          <w:sz w:val="12"/>
          <w:szCs w:val="12"/>
        </w:rPr>
        <w:t xml:space="preserve">principales </w:t>
      </w:r>
      <w:r w:rsidR="005A01A8" w:rsidRPr="00A83CE0">
        <w:rPr>
          <w:color w:val="000000"/>
          <w:sz w:val="12"/>
          <w:szCs w:val="12"/>
        </w:rPr>
        <w:t xml:space="preserve">activités </w:t>
      </w:r>
      <w:r w:rsidR="009C3876">
        <w:rPr>
          <w:color w:val="000000"/>
          <w:sz w:val="12"/>
          <w:szCs w:val="12"/>
        </w:rPr>
        <w:t>commerciales</w:t>
      </w:r>
      <w:r w:rsidR="005A01A8" w:rsidRPr="00A83CE0">
        <w:rPr>
          <w:color w:val="000000"/>
          <w:sz w:val="12"/>
          <w:szCs w:val="12"/>
        </w:rPr>
        <w:t xml:space="preserve"> du </w:t>
      </w:r>
      <w:r w:rsidR="003F3FC3">
        <w:rPr>
          <w:color w:val="000000"/>
          <w:sz w:val="12"/>
          <w:szCs w:val="12"/>
        </w:rPr>
        <w:t>Client</w:t>
      </w:r>
      <w:r w:rsidR="005A01A8" w:rsidRPr="00A83CE0">
        <w:rPr>
          <w:color w:val="000000"/>
          <w:sz w:val="12"/>
          <w:szCs w:val="12"/>
        </w:rPr>
        <w:t xml:space="preserve"> ou </w:t>
      </w:r>
      <w:r w:rsidR="006514C3">
        <w:rPr>
          <w:color w:val="000000"/>
          <w:sz w:val="12"/>
          <w:szCs w:val="12"/>
        </w:rPr>
        <w:t>la totalité</w:t>
      </w:r>
      <w:r w:rsidR="005A01A8" w:rsidRPr="00A83CE0">
        <w:rPr>
          <w:color w:val="000000"/>
          <w:sz w:val="12"/>
          <w:szCs w:val="12"/>
        </w:rPr>
        <w:t xml:space="preserve"> de</w:t>
      </w:r>
      <w:r w:rsidR="006514C3">
        <w:rPr>
          <w:color w:val="000000"/>
          <w:sz w:val="12"/>
          <w:szCs w:val="12"/>
        </w:rPr>
        <w:t xml:space="preserve"> ses</w:t>
      </w:r>
      <w:r w:rsidR="005A01A8" w:rsidRPr="00A83CE0">
        <w:rPr>
          <w:color w:val="000000"/>
          <w:sz w:val="12"/>
          <w:szCs w:val="12"/>
        </w:rPr>
        <w:t xml:space="preserve"> activités commerciales sont suspendues de façon permanente ou pendant au moins 45 jours.</w:t>
      </w:r>
    </w:p>
    <w:p w14:paraId="28C3B8C0" w14:textId="6ADEFDDF" w:rsidR="005A01A8" w:rsidRPr="00A83CE0" w:rsidRDefault="00C60686" w:rsidP="00A83CE0">
      <w:pPr>
        <w:pStyle w:val="ListParagraph"/>
        <w:numPr>
          <w:ilvl w:val="0"/>
          <w:numId w:val="2"/>
        </w:numPr>
        <w:tabs>
          <w:tab w:val="left" w:pos="652"/>
        </w:tabs>
        <w:spacing w:after="120"/>
        <w:ind w:left="112" w:right="143"/>
        <w:rPr>
          <w:sz w:val="12"/>
          <w:szCs w:val="12"/>
        </w:rPr>
      </w:pPr>
      <w:r w:rsidRPr="00A83CE0">
        <w:rPr>
          <w:b/>
          <w:bCs/>
          <w:color w:val="000000"/>
          <w:sz w:val="12"/>
          <w:szCs w:val="12"/>
        </w:rPr>
        <w:t>INDEMNISATION</w:t>
      </w:r>
      <w:bookmarkStart w:id="3" w:name="_bookmark3"/>
      <w:bookmarkEnd w:id="3"/>
      <w:r w:rsidRPr="00A83CE0">
        <w:rPr>
          <w:b/>
          <w:bCs/>
          <w:color w:val="000000"/>
          <w:sz w:val="12"/>
          <w:szCs w:val="12"/>
        </w:rPr>
        <w:t>.</w:t>
      </w:r>
      <w:r w:rsidRPr="00A83CE0">
        <w:rPr>
          <w:color w:val="000000"/>
          <w:sz w:val="12"/>
          <w:szCs w:val="12"/>
        </w:rPr>
        <w:t xml:space="preserve"> </w:t>
      </w:r>
      <w:r w:rsidR="005A01A8" w:rsidRPr="00A83CE0">
        <w:rPr>
          <w:color w:val="000000"/>
          <w:sz w:val="12"/>
          <w:szCs w:val="12"/>
        </w:rPr>
        <w:t xml:space="preserve">Le </w:t>
      </w:r>
      <w:r w:rsidR="003F3FC3">
        <w:rPr>
          <w:color w:val="000000"/>
          <w:sz w:val="12"/>
          <w:szCs w:val="12"/>
        </w:rPr>
        <w:t>Client</w:t>
      </w:r>
      <w:r w:rsidR="005A01A8" w:rsidRPr="00A83CE0">
        <w:rPr>
          <w:color w:val="000000"/>
          <w:sz w:val="12"/>
          <w:szCs w:val="12"/>
        </w:rPr>
        <w:t xml:space="preserve"> </w:t>
      </w:r>
      <w:r w:rsidR="00DD02D9">
        <w:rPr>
          <w:color w:val="000000"/>
          <w:sz w:val="12"/>
          <w:szCs w:val="12"/>
        </w:rPr>
        <w:t xml:space="preserve">tient </w:t>
      </w:r>
      <w:r w:rsidR="005A01A8" w:rsidRPr="00A83CE0">
        <w:rPr>
          <w:color w:val="000000"/>
          <w:sz w:val="12"/>
          <w:szCs w:val="12"/>
        </w:rPr>
        <w:t xml:space="preserve">Interfor et ses administrateurs, dirigeants, employés, </w:t>
      </w:r>
      <w:r w:rsidR="00DD02D9">
        <w:rPr>
          <w:color w:val="000000"/>
          <w:sz w:val="12"/>
          <w:szCs w:val="12"/>
        </w:rPr>
        <w:t xml:space="preserve">agents, </w:t>
      </w:r>
      <w:r w:rsidR="005A01A8" w:rsidRPr="00A83CE0">
        <w:rPr>
          <w:color w:val="000000"/>
          <w:sz w:val="12"/>
          <w:szCs w:val="12"/>
        </w:rPr>
        <w:t xml:space="preserve">mandataires et entrepreneurs </w:t>
      </w:r>
      <w:r w:rsidR="009203D1">
        <w:rPr>
          <w:color w:val="000000"/>
          <w:sz w:val="12"/>
          <w:szCs w:val="12"/>
        </w:rPr>
        <w:t xml:space="preserve">indemnes et </w:t>
      </w:r>
      <w:r w:rsidR="005A01A8" w:rsidRPr="00A83CE0">
        <w:rPr>
          <w:color w:val="000000"/>
          <w:sz w:val="12"/>
          <w:szCs w:val="12"/>
        </w:rPr>
        <w:t xml:space="preserve">à couvert </w:t>
      </w:r>
      <w:r w:rsidR="009203D1">
        <w:rPr>
          <w:color w:val="000000"/>
          <w:sz w:val="12"/>
          <w:szCs w:val="12"/>
        </w:rPr>
        <w:t xml:space="preserve">et les défend </w:t>
      </w:r>
      <w:r w:rsidR="005A01A8" w:rsidRPr="00A83CE0">
        <w:rPr>
          <w:color w:val="000000"/>
          <w:sz w:val="12"/>
          <w:szCs w:val="12"/>
        </w:rPr>
        <w:t xml:space="preserve">à l’égard de tous les dommages, </w:t>
      </w:r>
      <w:r w:rsidR="009203D1">
        <w:rPr>
          <w:color w:val="000000"/>
          <w:sz w:val="12"/>
          <w:szCs w:val="12"/>
        </w:rPr>
        <w:t xml:space="preserve">pertes, </w:t>
      </w:r>
      <w:r w:rsidR="005A01A8" w:rsidRPr="00A83CE0">
        <w:rPr>
          <w:color w:val="000000"/>
          <w:sz w:val="12"/>
          <w:szCs w:val="12"/>
        </w:rPr>
        <w:t xml:space="preserve">responsabilités, </w:t>
      </w:r>
      <w:r w:rsidR="009D7F60">
        <w:rPr>
          <w:color w:val="000000"/>
          <w:sz w:val="12"/>
          <w:szCs w:val="12"/>
        </w:rPr>
        <w:t xml:space="preserve">obligations, </w:t>
      </w:r>
      <w:r w:rsidR="00BC3E8B">
        <w:rPr>
          <w:color w:val="000000"/>
          <w:sz w:val="12"/>
          <w:szCs w:val="12"/>
        </w:rPr>
        <w:t>préjudices subis par des personnes ou des biens</w:t>
      </w:r>
      <w:r w:rsidR="005A01A8" w:rsidRPr="00A83CE0">
        <w:rPr>
          <w:color w:val="000000"/>
          <w:sz w:val="12"/>
          <w:szCs w:val="12"/>
        </w:rPr>
        <w:t xml:space="preserve">, réclamations, </w:t>
      </w:r>
      <w:r w:rsidR="00153C78">
        <w:rPr>
          <w:color w:val="000000"/>
          <w:sz w:val="12"/>
          <w:szCs w:val="12"/>
        </w:rPr>
        <w:t xml:space="preserve">poursuites, </w:t>
      </w:r>
      <w:r w:rsidR="005A01A8" w:rsidRPr="00A83CE0">
        <w:rPr>
          <w:color w:val="000000"/>
          <w:sz w:val="12"/>
          <w:szCs w:val="12"/>
        </w:rPr>
        <w:t xml:space="preserve">jugements et dépenses (y compris, notamment les </w:t>
      </w:r>
      <w:r w:rsidR="00331821">
        <w:rPr>
          <w:color w:val="000000"/>
          <w:sz w:val="12"/>
          <w:szCs w:val="12"/>
        </w:rPr>
        <w:t xml:space="preserve">honoraires et </w:t>
      </w:r>
      <w:r w:rsidR="005A01A8" w:rsidRPr="00A83CE0">
        <w:rPr>
          <w:color w:val="000000"/>
          <w:sz w:val="12"/>
          <w:szCs w:val="12"/>
        </w:rPr>
        <w:t xml:space="preserve">frais </w:t>
      </w:r>
      <w:r w:rsidR="00331821">
        <w:rPr>
          <w:color w:val="000000"/>
          <w:sz w:val="12"/>
          <w:szCs w:val="12"/>
        </w:rPr>
        <w:t>juridiques</w:t>
      </w:r>
      <w:r w:rsidR="005A01A8" w:rsidRPr="00A83CE0">
        <w:rPr>
          <w:color w:val="000000"/>
          <w:sz w:val="12"/>
          <w:szCs w:val="12"/>
        </w:rPr>
        <w:t xml:space="preserve">) </w:t>
      </w:r>
      <w:r w:rsidR="00331821">
        <w:rPr>
          <w:color w:val="000000"/>
          <w:sz w:val="12"/>
          <w:szCs w:val="12"/>
        </w:rPr>
        <w:t>engagés, encourus</w:t>
      </w:r>
      <w:r w:rsidR="00BE3B48">
        <w:rPr>
          <w:color w:val="000000"/>
          <w:sz w:val="12"/>
          <w:szCs w:val="12"/>
        </w:rPr>
        <w:t xml:space="preserve">, </w:t>
      </w:r>
      <w:r w:rsidR="005A01A8" w:rsidRPr="00A83CE0">
        <w:rPr>
          <w:color w:val="000000"/>
          <w:sz w:val="12"/>
          <w:szCs w:val="12"/>
        </w:rPr>
        <w:t>subis</w:t>
      </w:r>
      <w:r w:rsidR="00BE3B48">
        <w:rPr>
          <w:color w:val="000000"/>
          <w:sz w:val="12"/>
          <w:szCs w:val="12"/>
        </w:rPr>
        <w:t>, intentés ou entrepris</w:t>
      </w:r>
      <w:r w:rsidR="005A01A8" w:rsidRPr="00A83CE0">
        <w:rPr>
          <w:color w:val="000000"/>
          <w:sz w:val="12"/>
          <w:szCs w:val="12"/>
        </w:rPr>
        <w:t xml:space="preserve"> directement ou indirectement </w:t>
      </w:r>
      <w:r w:rsidR="00030BBA">
        <w:rPr>
          <w:color w:val="000000"/>
          <w:sz w:val="12"/>
          <w:szCs w:val="12"/>
        </w:rPr>
        <w:t xml:space="preserve">en raison </w:t>
      </w:r>
      <w:r w:rsidR="005A01A8" w:rsidRPr="00A83CE0">
        <w:rPr>
          <w:color w:val="000000"/>
          <w:sz w:val="12"/>
          <w:szCs w:val="12"/>
        </w:rPr>
        <w:t>de ce qui suit : a) tout</w:t>
      </w:r>
      <w:r w:rsidR="00383A0C">
        <w:rPr>
          <w:color w:val="000000"/>
          <w:sz w:val="12"/>
          <w:szCs w:val="12"/>
        </w:rPr>
        <w:t>e</w:t>
      </w:r>
      <w:r w:rsidR="00E610E1">
        <w:rPr>
          <w:color w:val="000000"/>
          <w:sz w:val="12"/>
          <w:szCs w:val="12"/>
        </w:rPr>
        <w:t xml:space="preserve"> violation</w:t>
      </w:r>
      <w:r w:rsidR="005A01A8" w:rsidRPr="00A83CE0">
        <w:rPr>
          <w:color w:val="000000"/>
          <w:sz w:val="12"/>
          <w:szCs w:val="12"/>
        </w:rPr>
        <w:t xml:space="preserve"> ou </w:t>
      </w:r>
      <w:r w:rsidR="00E610E1">
        <w:rPr>
          <w:color w:val="000000"/>
          <w:sz w:val="12"/>
          <w:szCs w:val="12"/>
        </w:rPr>
        <w:t xml:space="preserve">tout </w:t>
      </w:r>
      <w:r w:rsidR="005A01A8" w:rsidRPr="00A83CE0">
        <w:rPr>
          <w:color w:val="000000"/>
          <w:sz w:val="12"/>
          <w:szCs w:val="12"/>
        </w:rPr>
        <w:t xml:space="preserve">défaut du </w:t>
      </w:r>
      <w:r w:rsidR="003F3FC3">
        <w:rPr>
          <w:color w:val="000000"/>
          <w:sz w:val="12"/>
          <w:szCs w:val="12"/>
        </w:rPr>
        <w:t>Client</w:t>
      </w:r>
      <w:r w:rsidR="005A01A8" w:rsidRPr="00A83CE0">
        <w:rPr>
          <w:color w:val="000000"/>
          <w:sz w:val="12"/>
          <w:szCs w:val="12"/>
        </w:rPr>
        <w:t xml:space="preserve"> aux termes de l’une des dispositions de la </w:t>
      </w:r>
      <w:r w:rsidR="00292D2B">
        <w:rPr>
          <w:color w:val="000000"/>
          <w:sz w:val="12"/>
          <w:szCs w:val="12"/>
        </w:rPr>
        <w:t>Convention</w:t>
      </w:r>
      <w:r w:rsidR="005A01A8" w:rsidRPr="00A83CE0">
        <w:rPr>
          <w:color w:val="000000"/>
          <w:sz w:val="12"/>
          <w:szCs w:val="12"/>
        </w:rPr>
        <w:t xml:space="preserve">; ou b) un acte ou une omission du </w:t>
      </w:r>
      <w:r w:rsidR="003F3FC3">
        <w:rPr>
          <w:color w:val="000000"/>
          <w:sz w:val="12"/>
          <w:szCs w:val="12"/>
        </w:rPr>
        <w:t>Client</w:t>
      </w:r>
      <w:r w:rsidR="005A01A8" w:rsidRPr="00A83CE0">
        <w:rPr>
          <w:color w:val="000000"/>
          <w:sz w:val="12"/>
          <w:szCs w:val="12"/>
        </w:rPr>
        <w:t xml:space="preserve"> ou de ses administrateurs, dirigeants, employés, </w:t>
      </w:r>
      <w:r w:rsidR="00E610E1">
        <w:rPr>
          <w:color w:val="000000"/>
          <w:sz w:val="12"/>
          <w:szCs w:val="12"/>
        </w:rPr>
        <w:t xml:space="preserve">agents, </w:t>
      </w:r>
      <w:r w:rsidR="005A01A8" w:rsidRPr="00A83CE0">
        <w:rPr>
          <w:color w:val="000000"/>
          <w:sz w:val="12"/>
          <w:szCs w:val="12"/>
        </w:rPr>
        <w:t xml:space="preserve">mandataires et entrepreneurs, y compris, notamment : i) toute garantie que le </w:t>
      </w:r>
      <w:r w:rsidR="003F3FC3">
        <w:rPr>
          <w:color w:val="000000"/>
          <w:sz w:val="12"/>
          <w:szCs w:val="12"/>
        </w:rPr>
        <w:t>Client</w:t>
      </w:r>
      <w:r w:rsidR="005A01A8" w:rsidRPr="00A83CE0">
        <w:rPr>
          <w:color w:val="000000"/>
          <w:sz w:val="12"/>
          <w:szCs w:val="12"/>
        </w:rPr>
        <w:t xml:space="preserve"> donne à une autre personne à l’égard de produits de bois d’</w:t>
      </w:r>
      <w:r w:rsidR="00955480" w:rsidRPr="00A83CE0">
        <w:rPr>
          <w:color w:val="000000"/>
          <w:sz w:val="12"/>
          <w:szCs w:val="12"/>
        </w:rPr>
        <w:t>œuvre</w:t>
      </w:r>
      <w:r w:rsidR="005A01A8" w:rsidRPr="00A83CE0">
        <w:rPr>
          <w:color w:val="000000"/>
          <w:sz w:val="12"/>
          <w:szCs w:val="12"/>
        </w:rPr>
        <w:t xml:space="preserve">; ii) l’utilisation incorrecte par le </w:t>
      </w:r>
      <w:r w:rsidR="003F3FC3">
        <w:rPr>
          <w:color w:val="000000"/>
          <w:sz w:val="12"/>
          <w:szCs w:val="12"/>
        </w:rPr>
        <w:t>Client</w:t>
      </w:r>
      <w:r w:rsidR="005A01A8" w:rsidRPr="00A83CE0">
        <w:rPr>
          <w:color w:val="000000"/>
          <w:sz w:val="12"/>
          <w:szCs w:val="12"/>
        </w:rPr>
        <w:t xml:space="preserve"> ou une autre personne de produits de bois d’</w:t>
      </w:r>
      <w:r w:rsidR="00955480" w:rsidRPr="00A83CE0">
        <w:rPr>
          <w:color w:val="000000"/>
          <w:sz w:val="12"/>
          <w:szCs w:val="12"/>
        </w:rPr>
        <w:t>œuvre</w:t>
      </w:r>
      <w:r w:rsidR="005A01A8" w:rsidRPr="00A83CE0">
        <w:rPr>
          <w:color w:val="000000"/>
          <w:sz w:val="12"/>
          <w:szCs w:val="12"/>
        </w:rPr>
        <w:t xml:space="preserve">; iii) le transport, la réception, la manutention ou l’entreposage des </w:t>
      </w:r>
      <w:r w:rsidR="0079793D">
        <w:rPr>
          <w:color w:val="000000"/>
          <w:sz w:val="12"/>
          <w:szCs w:val="12"/>
        </w:rPr>
        <w:t xml:space="preserve">Produits de bois d’œuvre </w:t>
      </w:r>
      <w:r w:rsidR="005A01A8" w:rsidRPr="00A83CE0">
        <w:rPr>
          <w:color w:val="000000"/>
          <w:sz w:val="12"/>
          <w:szCs w:val="12"/>
        </w:rPr>
        <w:t xml:space="preserve">par le </w:t>
      </w:r>
      <w:r w:rsidR="003F3FC3">
        <w:rPr>
          <w:color w:val="000000"/>
          <w:sz w:val="12"/>
          <w:szCs w:val="12"/>
        </w:rPr>
        <w:t>Client</w:t>
      </w:r>
      <w:r w:rsidR="00955480">
        <w:rPr>
          <w:color w:val="000000"/>
          <w:sz w:val="12"/>
          <w:szCs w:val="12"/>
        </w:rPr>
        <w:t>, ses agents</w:t>
      </w:r>
      <w:r w:rsidR="005A01A8" w:rsidRPr="00A83CE0">
        <w:rPr>
          <w:color w:val="000000"/>
          <w:sz w:val="12"/>
          <w:szCs w:val="12"/>
        </w:rPr>
        <w:t xml:space="preserve"> ou mandataires. Les dispositions d</w:t>
      </w:r>
      <w:r w:rsidR="00DA3F38">
        <w:rPr>
          <w:color w:val="000000"/>
          <w:sz w:val="12"/>
          <w:szCs w:val="12"/>
        </w:rPr>
        <w:t>e la</w:t>
      </w:r>
      <w:r w:rsidR="005A01A8" w:rsidRPr="00A83CE0">
        <w:rPr>
          <w:color w:val="000000"/>
          <w:sz w:val="12"/>
          <w:szCs w:val="12"/>
        </w:rPr>
        <w:t xml:space="preserve"> présent</w:t>
      </w:r>
      <w:r w:rsidR="00DA3F38">
        <w:rPr>
          <w:color w:val="000000"/>
          <w:sz w:val="12"/>
          <w:szCs w:val="12"/>
        </w:rPr>
        <w:t>e</w:t>
      </w:r>
      <w:r w:rsidR="005A01A8" w:rsidRPr="00A83CE0">
        <w:rPr>
          <w:color w:val="000000"/>
          <w:sz w:val="12"/>
          <w:szCs w:val="12"/>
        </w:rPr>
        <w:t xml:space="preserve"> </w:t>
      </w:r>
      <w:r w:rsidR="00DA3F38">
        <w:rPr>
          <w:color w:val="000000"/>
          <w:sz w:val="12"/>
          <w:szCs w:val="12"/>
        </w:rPr>
        <w:t xml:space="preserve">clause </w:t>
      </w:r>
      <w:hyperlink w:anchor="_bookmark3" w:history="1">
        <w:r w:rsidR="00565716">
          <w:rPr>
            <w:color w:val="000000"/>
            <w:sz w:val="12"/>
            <w:szCs w:val="12"/>
          </w:rPr>
          <w:t>21</w:t>
        </w:r>
      </w:hyperlink>
      <w:r w:rsidR="005A01A8" w:rsidRPr="00A83CE0">
        <w:rPr>
          <w:color w:val="000000"/>
          <w:sz w:val="12"/>
          <w:szCs w:val="12"/>
        </w:rPr>
        <w:t xml:space="preserve"> demeurent en vigueur après la résiliation de la </w:t>
      </w:r>
      <w:r w:rsidR="00292D2B">
        <w:rPr>
          <w:color w:val="000000"/>
          <w:sz w:val="12"/>
          <w:szCs w:val="12"/>
        </w:rPr>
        <w:t>Convention</w:t>
      </w:r>
      <w:r w:rsidR="005A01A8" w:rsidRPr="00A83CE0">
        <w:rPr>
          <w:color w:val="000000"/>
          <w:sz w:val="12"/>
          <w:szCs w:val="12"/>
        </w:rPr>
        <w:t xml:space="preserve"> et s’ajoutent à tout autre droit ou recours qu’Interfor peut avoir, que ce soit en droit ou en équité.</w:t>
      </w:r>
    </w:p>
    <w:p w14:paraId="6E2C1B5D" w14:textId="28D825B9" w:rsidR="005A01A8" w:rsidRPr="00A83CE0" w:rsidRDefault="00C60686" w:rsidP="00A83CE0">
      <w:pPr>
        <w:pStyle w:val="ListParagraph"/>
        <w:numPr>
          <w:ilvl w:val="0"/>
          <w:numId w:val="2"/>
        </w:numPr>
        <w:tabs>
          <w:tab w:val="left" w:pos="652"/>
        </w:tabs>
        <w:spacing w:after="120"/>
        <w:ind w:right="142"/>
        <w:rPr>
          <w:sz w:val="12"/>
          <w:szCs w:val="12"/>
        </w:rPr>
      </w:pPr>
      <w:r w:rsidRPr="00A83CE0">
        <w:rPr>
          <w:b/>
          <w:color w:val="000000"/>
          <w:sz w:val="12"/>
          <w:szCs w:val="12"/>
        </w:rPr>
        <w:t>CONFIDENTIALITÉ.</w:t>
      </w:r>
      <w:r w:rsidR="005A01A8" w:rsidRPr="00A83CE0">
        <w:rPr>
          <w:color w:val="000000"/>
          <w:sz w:val="12"/>
          <w:szCs w:val="12"/>
        </w:rPr>
        <w:t xml:space="preserve"> Aucune </w:t>
      </w:r>
      <w:r w:rsidR="00761CB6" w:rsidRPr="00761CB6">
        <w:rPr>
          <w:color w:val="000000"/>
          <w:sz w:val="12"/>
          <w:szCs w:val="12"/>
        </w:rPr>
        <w:t xml:space="preserve">des parties, sans le consentement de l’autre partie, ne divulguera ni ne communiquera à une personne, sauf pour l’application de la </w:t>
      </w:r>
      <w:r w:rsidR="00292D2B">
        <w:rPr>
          <w:color w:val="000000"/>
          <w:sz w:val="12"/>
          <w:szCs w:val="12"/>
        </w:rPr>
        <w:t>Convention</w:t>
      </w:r>
      <w:r w:rsidR="00761CB6" w:rsidRPr="00761CB6">
        <w:rPr>
          <w:color w:val="000000"/>
          <w:sz w:val="12"/>
          <w:szCs w:val="12"/>
        </w:rPr>
        <w:t xml:space="preserve">, tout renseignement qui lui est communiqué par </w:t>
      </w:r>
      <w:r w:rsidR="00DB6DC9">
        <w:rPr>
          <w:color w:val="000000"/>
          <w:sz w:val="12"/>
          <w:szCs w:val="12"/>
        </w:rPr>
        <w:t>l’</w:t>
      </w:r>
      <w:r w:rsidR="00761CB6" w:rsidRPr="00761CB6">
        <w:rPr>
          <w:color w:val="000000"/>
          <w:sz w:val="12"/>
          <w:szCs w:val="12"/>
        </w:rPr>
        <w:t xml:space="preserve">autre partie, les modalités de la </w:t>
      </w:r>
      <w:r w:rsidR="00292D2B">
        <w:rPr>
          <w:color w:val="000000"/>
          <w:sz w:val="12"/>
          <w:szCs w:val="12"/>
        </w:rPr>
        <w:t>Convention</w:t>
      </w:r>
      <w:r w:rsidR="00761CB6" w:rsidRPr="00761CB6">
        <w:rPr>
          <w:color w:val="000000"/>
          <w:sz w:val="12"/>
          <w:szCs w:val="12"/>
        </w:rPr>
        <w:t xml:space="preserve"> ou tout renseignement obtenu ou produit relativement à la </w:t>
      </w:r>
      <w:r w:rsidR="00292D2B">
        <w:rPr>
          <w:color w:val="000000"/>
          <w:sz w:val="12"/>
          <w:szCs w:val="12"/>
        </w:rPr>
        <w:t>Convention</w:t>
      </w:r>
      <w:r w:rsidR="00761CB6" w:rsidRPr="00761CB6">
        <w:rPr>
          <w:color w:val="000000"/>
          <w:sz w:val="12"/>
          <w:szCs w:val="12"/>
        </w:rPr>
        <w:t xml:space="preserve"> (« </w:t>
      </w:r>
      <w:r w:rsidR="00CB6196">
        <w:rPr>
          <w:b/>
          <w:bCs/>
          <w:color w:val="000000"/>
          <w:sz w:val="12"/>
          <w:szCs w:val="12"/>
        </w:rPr>
        <w:t xml:space="preserve">Renseignements confidentiels </w:t>
      </w:r>
      <w:r w:rsidR="00761CB6" w:rsidRPr="00761CB6">
        <w:rPr>
          <w:color w:val="000000"/>
          <w:sz w:val="12"/>
          <w:szCs w:val="12"/>
        </w:rPr>
        <w:t xml:space="preserve">»). L’interdiction qui précède n’empêche pas une partie de divulguer ou communiquer des </w:t>
      </w:r>
      <w:r w:rsidR="00CB6196">
        <w:rPr>
          <w:color w:val="000000"/>
          <w:sz w:val="12"/>
          <w:szCs w:val="12"/>
        </w:rPr>
        <w:t xml:space="preserve">Renseignements confidentiels </w:t>
      </w:r>
      <w:r w:rsidR="00761CB6" w:rsidRPr="00761CB6">
        <w:rPr>
          <w:color w:val="000000"/>
          <w:sz w:val="12"/>
          <w:szCs w:val="12"/>
        </w:rPr>
        <w:t xml:space="preserve">dans les cas suivants : </w:t>
      </w:r>
      <w:r w:rsidR="00664AB5">
        <w:rPr>
          <w:color w:val="000000"/>
          <w:sz w:val="12"/>
          <w:szCs w:val="12"/>
        </w:rPr>
        <w:t xml:space="preserve">              </w:t>
      </w:r>
      <w:r w:rsidR="00761CB6" w:rsidRPr="00761CB6">
        <w:rPr>
          <w:color w:val="000000"/>
          <w:sz w:val="12"/>
          <w:szCs w:val="12"/>
        </w:rPr>
        <w:t xml:space="preserve">a) lorsque la partie les divulgue à ses </w:t>
      </w:r>
      <w:r w:rsidR="00615960">
        <w:rPr>
          <w:color w:val="000000"/>
          <w:sz w:val="12"/>
          <w:szCs w:val="12"/>
        </w:rPr>
        <w:t>dirigeants</w:t>
      </w:r>
      <w:r w:rsidR="001D5F96">
        <w:rPr>
          <w:color w:val="000000"/>
          <w:sz w:val="12"/>
          <w:szCs w:val="12"/>
        </w:rPr>
        <w:t>, employés et conseillers</w:t>
      </w:r>
      <w:r w:rsidR="00761CB6" w:rsidRPr="00761CB6">
        <w:rPr>
          <w:color w:val="000000"/>
          <w:sz w:val="12"/>
          <w:szCs w:val="12"/>
        </w:rPr>
        <w:t xml:space="preserve"> qui ont besoin d’avoir accès aux renseignements pour l’application de la </w:t>
      </w:r>
      <w:r w:rsidR="00292D2B">
        <w:rPr>
          <w:color w:val="000000"/>
          <w:sz w:val="12"/>
          <w:szCs w:val="12"/>
        </w:rPr>
        <w:t>Convention</w:t>
      </w:r>
      <w:r w:rsidR="00761CB6" w:rsidRPr="00761CB6">
        <w:rPr>
          <w:color w:val="000000"/>
          <w:sz w:val="12"/>
          <w:szCs w:val="12"/>
        </w:rPr>
        <w:t xml:space="preserve"> et qui sont informés de la nature confidentielle des </w:t>
      </w:r>
      <w:r w:rsidR="00590415">
        <w:rPr>
          <w:color w:val="000000"/>
          <w:sz w:val="12"/>
          <w:szCs w:val="12"/>
        </w:rPr>
        <w:t>R</w:t>
      </w:r>
      <w:r w:rsidR="00761CB6" w:rsidRPr="00761CB6">
        <w:rPr>
          <w:color w:val="000000"/>
          <w:sz w:val="12"/>
          <w:szCs w:val="12"/>
        </w:rPr>
        <w:t xml:space="preserve">enseignements confidentiels; b) lorsque cela est ordonné ou exigé par une loi, une ordonnance judiciaire ou une </w:t>
      </w:r>
      <w:r w:rsidR="002E08ED">
        <w:rPr>
          <w:color w:val="000000"/>
          <w:sz w:val="12"/>
          <w:szCs w:val="12"/>
        </w:rPr>
        <w:t>autorité g</w:t>
      </w:r>
      <w:r w:rsidR="004E38C7">
        <w:rPr>
          <w:color w:val="000000"/>
          <w:sz w:val="12"/>
          <w:szCs w:val="12"/>
        </w:rPr>
        <w:t xml:space="preserve">ouvernementale </w:t>
      </w:r>
      <w:r w:rsidR="00761CB6" w:rsidRPr="00761CB6">
        <w:rPr>
          <w:color w:val="000000"/>
          <w:sz w:val="12"/>
          <w:szCs w:val="12"/>
        </w:rPr>
        <w:t xml:space="preserve">applicable; c) </w:t>
      </w:r>
      <w:r w:rsidR="00D752BC">
        <w:rPr>
          <w:color w:val="000000"/>
          <w:sz w:val="12"/>
          <w:szCs w:val="12"/>
        </w:rPr>
        <w:t>lorsque</w:t>
      </w:r>
      <w:r w:rsidR="005E4EC9">
        <w:rPr>
          <w:color w:val="000000"/>
          <w:sz w:val="12"/>
          <w:szCs w:val="12"/>
        </w:rPr>
        <w:t xml:space="preserve"> cela </w:t>
      </w:r>
      <w:r w:rsidR="00D752BC" w:rsidRPr="00D752BC">
        <w:rPr>
          <w:color w:val="000000"/>
          <w:sz w:val="12"/>
          <w:szCs w:val="12"/>
        </w:rPr>
        <w:t>constitue la divulgation d</w:t>
      </w:r>
      <w:r w:rsidR="005063C8">
        <w:rPr>
          <w:color w:val="000000"/>
          <w:sz w:val="12"/>
          <w:szCs w:val="12"/>
        </w:rPr>
        <w:t>e renseignements sur le</w:t>
      </w:r>
      <w:r w:rsidR="00D752BC" w:rsidRPr="00D752BC">
        <w:rPr>
          <w:color w:val="000000"/>
          <w:sz w:val="12"/>
          <w:szCs w:val="12"/>
        </w:rPr>
        <w:t xml:space="preserve"> crédit à des vendeurs du même secteur, dans le cours normal des activités</w:t>
      </w:r>
      <w:r w:rsidR="005063C8">
        <w:rPr>
          <w:color w:val="000000"/>
          <w:sz w:val="12"/>
          <w:szCs w:val="12"/>
        </w:rPr>
        <w:t>;</w:t>
      </w:r>
      <w:r w:rsidR="00ED0480">
        <w:rPr>
          <w:color w:val="000000"/>
          <w:sz w:val="12"/>
          <w:szCs w:val="12"/>
        </w:rPr>
        <w:t xml:space="preserve"> d)</w:t>
      </w:r>
      <w:r w:rsidR="00D752BC" w:rsidRPr="00D752BC">
        <w:rPr>
          <w:color w:val="000000"/>
          <w:sz w:val="12"/>
          <w:szCs w:val="12"/>
        </w:rPr>
        <w:t xml:space="preserve"> </w:t>
      </w:r>
      <w:r w:rsidR="00761CB6" w:rsidRPr="00761CB6">
        <w:rPr>
          <w:color w:val="000000"/>
          <w:sz w:val="12"/>
          <w:szCs w:val="12"/>
        </w:rPr>
        <w:t xml:space="preserve">lorsque la partie en a eu connaissance sur une base non confidentielle; </w:t>
      </w:r>
      <w:r w:rsidR="00ED0480">
        <w:rPr>
          <w:color w:val="000000"/>
          <w:sz w:val="12"/>
          <w:szCs w:val="12"/>
        </w:rPr>
        <w:t>e</w:t>
      </w:r>
      <w:r w:rsidR="00761CB6" w:rsidRPr="00761CB6">
        <w:rPr>
          <w:color w:val="000000"/>
          <w:sz w:val="12"/>
          <w:szCs w:val="12"/>
        </w:rPr>
        <w:t xml:space="preserve">) lorsqu’ils sont dans le domaine public sans que ce soit de la faute de la partie; ou </w:t>
      </w:r>
      <w:r w:rsidR="00ED0480">
        <w:rPr>
          <w:color w:val="000000"/>
          <w:sz w:val="12"/>
          <w:szCs w:val="12"/>
        </w:rPr>
        <w:t>f</w:t>
      </w:r>
      <w:r w:rsidR="00761CB6" w:rsidRPr="00761CB6">
        <w:rPr>
          <w:color w:val="000000"/>
          <w:sz w:val="12"/>
          <w:szCs w:val="12"/>
        </w:rPr>
        <w:t xml:space="preserve">) lorsque la partie les a légalement acquis auprès d’un tiers qui n’est pas connu ou ne serait pas censé être connu, après enquête raisonnable, pour être tenu de respecter une obligation de confidentialité envers l’autre partie. Chaque partie </w:t>
      </w:r>
      <w:r w:rsidR="00A73FF9">
        <w:rPr>
          <w:color w:val="000000"/>
          <w:sz w:val="12"/>
          <w:szCs w:val="12"/>
        </w:rPr>
        <w:t>convient de prendre</w:t>
      </w:r>
      <w:r w:rsidR="004F7B23">
        <w:rPr>
          <w:color w:val="000000"/>
          <w:sz w:val="12"/>
          <w:szCs w:val="12"/>
        </w:rPr>
        <w:t xml:space="preserve"> toutes les mesures</w:t>
      </w:r>
      <w:r w:rsidR="00761CB6" w:rsidRPr="00761CB6">
        <w:rPr>
          <w:color w:val="000000"/>
          <w:sz w:val="12"/>
          <w:szCs w:val="12"/>
        </w:rPr>
        <w:t xml:space="preserve"> raisonnables </w:t>
      </w:r>
      <w:r w:rsidR="004F7B23">
        <w:rPr>
          <w:color w:val="000000"/>
          <w:sz w:val="12"/>
          <w:szCs w:val="12"/>
        </w:rPr>
        <w:t xml:space="preserve">nécessaires pour protéger </w:t>
      </w:r>
      <w:r w:rsidR="00476E6F">
        <w:rPr>
          <w:color w:val="000000"/>
          <w:sz w:val="12"/>
          <w:szCs w:val="12"/>
        </w:rPr>
        <w:t xml:space="preserve">les </w:t>
      </w:r>
      <w:r w:rsidR="00CB6196">
        <w:rPr>
          <w:color w:val="000000"/>
          <w:sz w:val="12"/>
          <w:szCs w:val="12"/>
        </w:rPr>
        <w:t xml:space="preserve">Renseignements confidentiels </w:t>
      </w:r>
      <w:r w:rsidR="00476E6F">
        <w:rPr>
          <w:color w:val="000000"/>
          <w:sz w:val="12"/>
          <w:szCs w:val="12"/>
        </w:rPr>
        <w:t>et</w:t>
      </w:r>
      <w:r w:rsidR="00A26A00">
        <w:rPr>
          <w:color w:val="000000"/>
          <w:sz w:val="12"/>
          <w:szCs w:val="12"/>
        </w:rPr>
        <w:t xml:space="preserve"> </w:t>
      </w:r>
      <w:r w:rsidR="00761CB6" w:rsidRPr="00761CB6">
        <w:rPr>
          <w:color w:val="000000"/>
          <w:sz w:val="12"/>
          <w:szCs w:val="12"/>
        </w:rPr>
        <w:t xml:space="preserve">pour empêcher la divulgation de </w:t>
      </w:r>
      <w:r w:rsidR="00CB6196">
        <w:rPr>
          <w:color w:val="000000"/>
          <w:sz w:val="12"/>
          <w:szCs w:val="12"/>
        </w:rPr>
        <w:t xml:space="preserve">Renseignements confidentiels </w:t>
      </w:r>
      <w:r w:rsidR="00761CB6" w:rsidRPr="00761CB6">
        <w:rPr>
          <w:color w:val="000000"/>
          <w:sz w:val="12"/>
          <w:szCs w:val="12"/>
        </w:rPr>
        <w:t>de l’autre partie à une personne non autorisée</w:t>
      </w:r>
      <w:r w:rsidR="00630E31">
        <w:rPr>
          <w:color w:val="000000"/>
          <w:sz w:val="12"/>
          <w:szCs w:val="12"/>
        </w:rPr>
        <w:t xml:space="preserve"> </w:t>
      </w:r>
      <w:r w:rsidRPr="00A83CE0">
        <w:rPr>
          <w:color w:val="000000"/>
          <w:sz w:val="12"/>
          <w:szCs w:val="12"/>
        </w:rPr>
        <w:t xml:space="preserve">par cette partie ou les membres de son groupe, </w:t>
      </w:r>
      <w:r w:rsidR="00630E31">
        <w:rPr>
          <w:color w:val="000000"/>
          <w:sz w:val="12"/>
          <w:szCs w:val="12"/>
        </w:rPr>
        <w:t xml:space="preserve">ses </w:t>
      </w:r>
      <w:r w:rsidRPr="00A83CE0">
        <w:rPr>
          <w:color w:val="000000"/>
          <w:sz w:val="12"/>
          <w:szCs w:val="12"/>
        </w:rPr>
        <w:t xml:space="preserve">administrateurs, dirigeants, employés, </w:t>
      </w:r>
      <w:r w:rsidR="00630E31">
        <w:rPr>
          <w:color w:val="000000"/>
          <w:sz w:val="12"/>
          <w:szCs w:val="12"/>
        </w:rPr>
        <w:t xml:space="preserve">agents, </w:t>
      </w:r>
      <w:r w:rsidRPr="00A83CE0">
        <w:rPr>
          <w:color w:val="000000"/>
          <w:sz w:val="12"/>
          <w:szCs w:val="12"/>
        </w:rPr>
        <w:t>mandataires, conseillers ou représentants.</w:t>
      </w:r>
    </w:p>
    <w:p w14:paraId="128A703F" w14:textId="74C41E88" w:rsidR="00A83CE0" w:rsidRPr="00450863" w:rsidRDefault="005A01A8" w:rsidP="00A83CE0">
      <w:pPr>
        <w:pStyle w:val="ListParagraph"/>
        <w:numPr>
          <w:ilvl w:val="0"/>
          <w:numId w:val="2"/>
        </w:numPr>
        <w:tabs>
          <w:tab w:val="left" w:pos="652"/>
        </w:tabs>
        <w:ind w:left="113" w:right="40"/>
        <w:rPr>
          <w:sz w:val="12"/>
          <w:szCs w:val="12"/>
        </w:rPr>
      </w:pPr>
      <w:r w:rsidRPr="00A83CE0">
        <w:rPr>
          <w:b/>
          <w:color w:val="000000"/>
          <w:sz w:val="12"/>
          <w:szCs w:val="12"/>
        </w:rPr>
        <w:t>PARTIES</w:t>
      </w:r>
      <w:r w:rsidRPr="00A83CE0">
        <w:rPr>
          <w:color w:val="000000"/>
          <w:sz w:val="12"/>
          <w:szCs w:val="12"/>
        </w:rPr>
        <w:t xml:space="preserve"> </w:t>
      </w:r>
      <w:r w:rsidRPr="00A83CE0">
        <w:rPr>
          <w:b/>
          <w:bCs/>
          <w:color w:val="000000"/>
          <w:sz w:val="12"/>
          <w:szCs w:val="12"/>
        </w:rPr>
        <w:t>INDÉPENDANTES</w:t>
      </w:r>
      <w:r w:rsidRPr="00A83CE0">
        <w:rPr>
          <w:color w:val="000000"/>
          <w:sz w:val="12"/>
          <w:szCs w:val="12"/>
        </w:rPr>
        <w:t xml:space="preserve">. Les parties à la </w:t>
      </w:r>
      <w:r w:rsidR="00292D2B">
        <w:rPr>
          <w:color w:val="000000"/>
          <w:sz w:val="12"/>
          <w:szCs w:val="12"/>
        </w:rPr>
        <w:t>Convention</w:t>
      </w:r>
      <w:r w:rsidRPr="00A83CE0">
        <w:rPr>
          <w:color w:val="000000"/>
          <w:sz w:val="12"/>
          <w:szCs w:val="12"/>
        </w:rPr>
        <w:t xml:space="preserve"> sont indépendantes et aucune disposition de la </w:t>
      </w:r>
      <w:r w:rsidR="00292D2B">
        <w:rPr>
          <w:color w:val="000000"/>
          <w:sz w:val="12"/>
          <w:szCs w:val="12"/>
        </w:rPr>
        <w:t>Convention</w:t>
      </w:r>
      <w:r w:rsidRPr="00A83CE0">
        <w:rPr>
          <w:color w:val="000000"/>
          <w:sz w:val="12"/>
          <w:szCs w:val="12"/>
        </w:rPr>
        <w:t xml:space="preserve"> ne </w:t>
      </w:r>
      <w:r w:rsidR="00590415">
        <w:rPr>
          <w:color w:val="000000"/>
          <w:sz w:val="12"/>
          <w:szCs w:val="12"/>
        </w:rPr>
        <w:t>représente</w:t>
      </w:r>
      <w:r w:rsidRPr="00A83CE0">
        <w:rPr>
          <w:color w:val="000000"/>
          <w:sz w:val="12"/>
          <w:szCs w:val="12"/>
        </w:rPr>
        <w:t xml:space="preserve"> </w:t>
      </w:r>
      <w:r w:rsidR="00630E31">
        <w:rPr>
          <w:color w:val="000000"/>
          <w:sz w:val="12"/>
          <w:szCs w:val="12"/>
        </w:rPr>
        <w:t>le</w:t>
      </w:r>
      <w:r w:rsidRPr="00A83CE0">
        <w:rPr>
          <w:color w:val="000000"/>
          <w:sz w:val="12"/>
          <w:szCs w:val="12"/>
        </w:rPr>
        <w:t xml:space="preserve"> </w:t>
      </w:r>
      <w:r w:rsidR="003F3FC3">
        <w:rPr>
          <w:color w:val="000000"/>
          <w:sz w:val="12"/>
          <w:szCs w:val="12"/>
        </w:rPr>
        <w:t>Client</w:t>
      </w:r>
      <w:r w:rsidRPr="00A83CE0">
        <w:rPr>
          <w:color w:val="000000"/>
          <w:sz w:val="12"/>
          <w:szCs w:val="12"/>
        </w:rPr>
        <w:t xml:space="preserve"> </w:t>
      </w:r>
      <w:r w:rsidR="00590415">
        <w:rPr>
          <w:color w:val="000000"/>
          <w:sz w:val="12"/>
          <w:szCs w:val="12"/>
        </w:rPr>
        <w:t xml:space="preserve">comme </w:t>
      </w:r>
      <w:r w:rsidRPr="00A83CE0">
        <w:rPr>
          <w:color w:val="000000"/>
          <w:sz w:val="12"/>
          <w:szCs w:val="12"/>
        </w:rPr>
        <w:t>associé</w:t>
      </w:r>
      <w:r w:rsidR="00630E31">
        <w:rPr>
          <w:color w:val="000000"/>
          <w:sz w:val="12"/>
          <w:szCs w:val="12"/>
        </w:rPr>
        <w:t>, agent</w:t>
      </w:r>
      <w:r w:rsidRPr="00A83CE0">
        <w:rPr>
          <w:color w:val="000000"/>
          <w:sz w:val="12"/>
          <w:szCs w:val="12"/>
        </w:rPr>
        <w:t xml:space="preserve"> ou mandataire d’Interfor et le </w:t>
      </w:r>
      <w:r w:rsidR="003F3FC3">
        <w:rPr>
          <w:color w:val="000000"/>
          <w:sz w:val="12"/>
          <w:szCs w:val="12"/>
        </w:rPr>
        <w:t>Client</w:t>
      </w:r>
      <w:r w:rsidRPr="00A83CE0">
        <w:rPr>
          <w:color w:val="000000"/>
          <w:sz w:val="12"/>
          <w:szCs w:val="12"/>
        </w:rPr>
        <w:t xml:space="preserve"> n’a </w:t>
      </w:r>
      <w:r w:rsidR="00CE49EF">
        <w:rPr>
          <w:color w:val="000000"/>
          <w:sz w:val="12"/>
          <w:szCs w:val="12"/>
        </w:rPr>
        <w:t xml:space="preserve">pas </w:t>
      </w:r>
      <w:r w:rsidRPr="00A83CE0">
        <w:rPr>
          <w:color w:val="000000"/>
          <w:sz w:val="12"/>
          <w:szCs w:val="12"/>
        </w:rPr>
        <w:t>le pouvoir de représenter</w:t>
      </w:r>
      <w:r w:rsidR="00CE49EF">
        <w:rPr>
          <w:color w:val="000000"/>
          <w:sz w:val="12"/>
          <w:szCs w:val="12"/>
        </w:rPr>
        <w:t xml:space="preserve"> ou</w:t>
      </w:r>
      <w:r w:rsidRPr="00A83CE0">
        <w:rPr>
          <w:color w:val="000000"/>
          <w:sz w:val="12"/>
          <w:szCs w:val="12"/>
        </w:rPr>
        <w:t xml:space="preserve"> de lier</w:t>
      </w:r>
      <w:r w:rsidR="00CE49EF">
        <w:rPr>
          <w:color w:val="000000"/>
          <w:sz w:val="12"/>
          <w:szCs w:val="12"/>
        </w:rPr>
        <w:t xml:space="preserve"> Interfor</w:t>
      </w:r>
      <w:r w:rsidRPr="00A83CE0">
        <w:rPr>
          <w:color w:val="000000"/>
          <w:sz w:val="12"/>
          <w:szCs w:val="12"/>
        </w:rPr>
        <w:t>, d’agir</w:t>
      </w:r>
      <w:r w:rsidR="00CE49EF">
        <w:rPr>
          <w:color w:val="000000"/>
          <w:sz w:val="12"/>
          <w:szCs w:val="12"/>
        </w:rPr>
        <w:t xml:space="preserve"> pour son compte</w:t>
      </w:r>
      <w:r w:rsidRPr="00A83CE0">
        <w:rPr>
          <w:color w:val="000000"/>
          <w:sz w:val="12"/>
          <w:szCs w:val="12"/>
        </w:rPr>
        <w:t xml:space="preserve">, d’entreprendre ou de créer quelque obligation ou responsabilité pour le compte d’Interfor ou au nom d’Interfor ou de déclarer qu’il est </w:t>
      </w:r>
      <w:r w:rsidR="00CE49EF">
        <w:rPr>
          <w:color w:val="000000"/>
          <w:sz w:val="12"/>
          <w:szCs w:val="12"/>
        </w:rPr>
        <w:t xml:space="preserve">l’agent ou </w:t>
      </w:r>
      <w:r w:rsidRPr="00A83CE0">
        <w:rPr>
          <w:color w:val="000000"/>
          <w:sz w:val="12"/>
          <w:szCs w:val="12"/>
        </w:rPr>
        <w:t>le mandataire d’Interfor</w:t>
      </w:r>
      <w:r w:rsidR="007336E6">
        <w:rPr>
          <w:color w:val="000000"/>
          <w:sz w:val="12"/>
          <w:szCs w:val="12"/>
        </w:rPr>
        <w:t>.</w:t>
      </w:r>
    </w:p>
    <w:p w14:paraId="7F20EE45" w14:textId="77777777" w:rsidR="00450863" w:rsidRPr="00450863" w:rsidRDefault="00450863" w:rsidP="00450863">
      <w:pPr>
        <w:pStyle w:val="ListParagraph"/>
        <w:tabs>
          <w:tab w:val="left" w:pos="652"/>
        </w:tabs>
        <w:ind w:left="113" w:right="40"/>
        <w:rPr>
          <w:sz w:val="12"/>
          <w:szCs w:val="12"/>
        </w:rPr>
      </w:pPr>
    </w:p>
    <w:p w14:paraId="48795C3A" w14:textId="02E27167" w:rsidR="00450863" w:rsidRPr="00752176" w:rsidRDefault="00450863" w:rsidP="00450863">
      <w:pPr>
        <w:pStyle w:val="ListParagraph"/>
        <w:numPr>
          <w:ilvl w:val="0"/>
          <w:numId w:val="2"/>
        </w:numPr>
        <w:tabs>
          <w:tab w:val="left" w:pos="652"/>
        </w:tabs>
        <w:spacing w:after="120"/>
        <w:ind w:left="112" w:right="40"/>
        <w:rPr>
          <w:sz w:val="12"/>
          <w:szCs w:val="12"/>
        </w:rPr>
      </w:pPr>
      <w:r w:rsidRPr="00752176">
        <w:rPr>
          <w:b/>
          <w:color w:val="000000"/>
          <w:sz w:val="12"/>
          <w:szCs w:val="12"/>
        </w:rPr>
        <w:t>RENONCIATION ET CONSENTEMENT</w:t>
      </w:r>
      <w:r w:rsidRPr="00752176">
        <w:rPr>
          <w:color w:val="000000"/>
          <w:sz w:val="12"/>
          <w:szCs w:val="12"/>
        </w:rPr>
        <w:t>. Aucun consentement ni renonciation, expr</w:t>
      </w:r>
      <w:r w:rsidR="006D4421">
        <w:rPr>
          <w:color w:val="000000"/>
          <w:sz w:val="12"/>
          <w:szCs w:val="12"/>
        </w:rPr>
        <w:t>esse</w:t>
      </w:r>
      <w:r w:rsidRPr="00752176">
        <w:rPr>
          <w:color w:val="000000"/>
          <w:sz w:val="12"/>
          <w:szCs w:val="12"/>
        </w:rPr>
        <w:t xml:space="preserve"> ou implicite, par une partie à l’égard de ses obligations aux termes de la </w:t>
      </w:r>
      <w:r w:rsidR="00292D2B" w:rsidRPr="00752176">
        <w:rPr>
          <w:color w:val="000000"/>
          <w:sz w:val="12"/>
          <w:szCs w:val="12"/>
        </w:rPr>
        <w:t>Convention</w:t>
      </w:r>
      <w:r w:rsidRPr="00752176">
        <w:rPr>
          <w:color w:val="000000"/>
          <w:sz w:val="12"/>
          <w:szCs w:val="12"/>
        </w:rPr>
        <w:t xml:space="preserve"> ne sera valide, à moins qu’il ne soit donné par écrit</w:t>
      </w:r>
      <w:r w:rsidR="005842FA" w:rsidRPr="00752176">
        <w:rPr>
          <w:color w:val="000000"/>
          <w:sz w:val="12"/>
          <w:szCs w:val="12"/>
        </w:rPr>
        <w:t xml:space="preserve">. </w:t>
      </w:r>
      <w:r w:rsidR="0033366E">
        <w:rPr>
          <w:color w:val="000000"/>
          <w:sz w:val="12"/>
          <w:szCs w:val="12"/>
        </w:rPr>
        <w:t>Ce consentement ou renonciation</w:t>
      </w:r>
      <w:r w:rsidRPr="00752176">
        <w:rPr>
          <w:color w:val="000000"/>
          <w:sz w:val="12"/>
          <w:szCs w:val="12"/>
        </w:rPr>
        <w:t xml:space="preserve"> ne peut être invoqué à titre de consentement ou de renonciation de toute autre obligation, </w:t>
      </w:r>
      <w:r w:rsidR="0070655C">
        <w:rPr>
          <w:color w:val="000000"/>
          <w:sz w:val="12"/>
          <w:szCs w:val="12"/>
        </w:rPr>
        <w:t xml:space="preserve">ou à titre </w:t>
      </w:r>
      <w:r w:rsidR="009A7340">
        <w:rPr>
          <w:color w:val="000000"/>
          <w:sz w:val="12"/>
          <w:szCs w:val="12"/>
        </w:rPr>
        <w:t>de renonciation</w:t>
      </w:r>
      <w:r w:rsidRPr="00752176">
        <w:rPr>
          <w:color w:val="000000"/>
          <w:sz w:val="12"/>
          <w:szCs w:val="12"/>
        </w:rPr>
        <w:t xml:space="preserve"> générale aux termes de la </w:t>
      </w:r>
      <w:r w:rsidR="00292D2B" w:rsidRPr="00752176">
        <w:rPr>
          <w:color w:val="000000"/>
          <w:sz w:val="12"/>
          <w:szCs w:val="12"/>
        </w:rPr>
        <w:t>Convention</w:t>
      </w:r>
      <w:r w:rsidR="0070655C">
        <w:rPr>
          <w:color w:val="000000"/>
          <w:sz w:val="12"/>
          <w:szCs w:val="12"/>
        </w:rPr>
        <w:t>.</w:t>
      </w:r>
    </w:p>
    <w:p w14:paraId="72D3FA0E" w14:textId="361D1ECF" w:rsidR="00450863" w:rsidRPr="00A83CE0" w:rsidRDefault="00450863" w:rsidP="00450863">
      <w:pPr>
        <w:pStyle w:val="ListParagraph"/>
        <w:numPr>
          <w:ilvl w:val="0"/>
          <w:numId w:val="2"/>
        </w:numPr>
        <w:tabs>
          <w:tab w:val="left" w:pos="652"/>
        </w:tabs>
        <w:spacing w:after="120"/>
        <w:ind w:right="40"/>
        <w:rPr>
          <w:sz w:val="12"/>
          <w:szCs w:val="12"/>
        </w:rPr>
      </w:pPr>
      <w:r w:rsidRPr="005E442C">
        <w:rPr>
          <w:b/>
          <w:bCs/>
          <w:color w:val="000000"/>
          <w:sz w:val="12"/>
          <w:szCs w:val="12"/>
        </w:rPr>
        <w:t>AVIS</w:t>
      </w:r>
      <w:r>
        <w:rPr>
          <w:color w:val="000000"/>
          <w:sz w:val="12"/>
          <w:szCs w:val="12"/>
        </w:rPr>
        <w:t xml:space="preserve">. </w:t>
      </w:r>
      <w:r w:rsidRPr="00A83CE0">
        <w:rPr>
          <w:color w:val="000000"/>
          <w:sz w:val="12"/>
          <w:szCs w:val="12"/>
        </w:rPr>
        <w:t xml:space="preserve">À l’exception des factures </w:t>
      </w:r>
      <w:r>
        <w:rPr>
          <w:color w:val="000000"/>
          <w:sz w:val="12"/>
          <w:szCs w:val="12"/>
        </w:rPr>
        <w:t>remis</w:t>
      </w:r>
      <w:r w:rsidRPr="00A83CE0">
        <w:rPr>
          <w:color w:val="000000"/>
          <w:sz w:val="12"/>
          <w:szCs w:val="12"/>
        </w:rPr>
        <w:t>es par voie électronique à l’e</w:t>
      </w:r>
      <w:r>
        <w:rPr>
          <w:color w:val="000000"/>
          <w:sz w:val="12"/>
          <w:szCs w:val="12"/>
        </w:rPr>
        <w:t>mplacement</w:t>
      </w:r>
      <w:r w:rsidRPr="00A83CE0">
        <w:rPr>
          <w:color w:val="000000"/>
          <w:sz w:val="12"/>
          <w:szCs w:val="12"/>
        </w:rPr>
        <w:t xml:space="preserve"> indiqué par le </w:t>
      </w:r>
      <w:r w:rsidR="003F3FC3">
        <w:rPr>
          <w:color w:val="000000"/>
          <w:sz w:val="12"/>
          <w:szCs w:val="12"/>
        </w:rPr>
        <w:t>Client</w:t>
      </w:r>
      <w:r w:rsidRPr="00A83CE0">
        <w:rPr>
          <w:color w:val="000000"/>
          <w:sz w:val="12"/>
          <w:szCs w:val="12"/>
        </w:rPr>
        <w:t xml:space="preserve"> comme étant l’endroit où les factures peuvent être envoyées (qui seront réputées avoir été reçues au moment de leur remise), tout avis donné aux termes de la </w:t>
      </w:r>
      <w:r w:rsidR="00292D2B">
        <w:rPr>
          <w:color w:val="000000"/>
          <w:sz w:val="12"/>
          <w:szCs w:val="12"/>
        </w:rPr>
        <w:t>Convention</w:t>
      </w:r>
      <w:r w:rsidRPr="00A83CE0">
        <w:rPr>
          <w:color w:val="000000"/>
          <w:sz w:val="12"/>
          <w:szCs w:val="12"/>
        </w:rPr>
        <w:t xml:space="preserve"> ou relativement à celle-ci est </w:t>
      </w:r>
      <w:r>
        <w:rPr>
          <w:color w:val="000000"/>
          <w:sz w:val="12"/>
          <w:szCs w:val="12"/>
        </w:rPr>
        <w:t>donn</w:t>
      </w:r>
      <w:r w:rsidRPr="00A83CE0">
        <w:rPr>
          <w:color w:val="000000"/>
          <w:sz w:val="12"/>
          <w:szCs w:val="12"/>
        </w:rPr>
        <w:t xml:space="preserve">é par écrit et remis par télécopieur, courriel, </w:t>
      </w:r>
      <w:r>
        <w:rPr>
          <w:color w:val="000000"/>
          <w:sz w:val="12"/>
          <w:szCs w:val="12"/>
        </w:rPr>
        <w:t xml:space="preserve">en </w:t>
      </w:r>
      <w:r w:rsidRPr="00A83CE0">
        <w:rPr>
          <w:color w:val="000000"/>
          <w:sz w:val="12"/>
          <w:szCs w:val="12"/>
        </w:rPr>
        <w:t>main</w:t>
      </w:r>
      <w:r>
        <w:rPr>
          <w:color w:val="000000"/>
          <w:sz w:val="12"/>
          <w:szCs w:val="12"/>
        </w:rPr>
        <w:t>s</w:t>
      </w:r>
      <w:r w:rsidRPr="00A83CE0">
        <w:rPr>
          <w:color w:val="000000"/>
          <w:sz w:val="12"/>
          <w:szCs w:val="12"/>
        </w:rPr>
        <w:t xml:space="preserve"> </w:t>
      </w:r>
      <w:r>
        <w:rPr>
          <w:color w:val="000000"/>
          <w:sz w:val="12"/>
          <w:szCs w:val="12"/>
        </w:rPr>
        <w:t xml:space="preserve">propres </w:t>
      </w:r>
      <w:r w:rsidRPr="00A83CE0">
        <w:rPr>
          <w:color w:val="000000"/>
          <w:sz w:val="12"/>
          <w:szCs w:val="12"/>
        </w:rPr>
        <w:t xml:space="preserve">ou messagerie, ou envoyé par courrier recommandé ou certifié </w:t>
      </w:r>
      <w:r>
        <w:rPr>
          <w:color w:val="000000"/>
          <w:sz w:val="12"/>
          <w:szCs w:val="12"/>
        </w:rPr>
        <w:t>sous pli affranchi</w:t>
      </w:r>
      <w:r w:rsidRPr="00A83CE0">
        <w:rPr>
          <w:color w:val="000000"/>
          <w:sz w:val="12"/>
          <w:szCs w:val="12"/>
        </w:rPr>
        <w:t xml:space="preserve"> aux adresses ou numéros de télécopieur indiqués à la première page du </w:t>
      </w:r>
      <w:r w:rsidR="0079793D">
        <w:rPr>
          <w:color w:val="000000"/>
          <w:sz w:val="12"/>
          <w:szCs w:val="12"/>
        </w:rPr>
        <w:t xml:space="preserve">Contrat de vente </w:t>
      </w:r>
      <w:r w:rsidRPr="00A83CE0">
        <w:rPr>
          <w:color w:val="000000"/>
          <w:sz w:val="12"/>
          <w:szCs w:val="12"/>
        </w:rPr>
        <w:t xml:space="preserve">ou à </w:t>
      </w:r>
      <w:r>
        <w:rPr>
          <w:color w:val="000000"/>
          <w:sz w:val="12"/>
          <w:szCs w:val="12"/>
        </w:rPr>
        <w:t xml:space="preserve">toute autre </w:t>
      </w:r>
      <w:r w:rsidRPr="00A83CE0">
        <w:rPr>
          <w:color w:val="000000"/>
          <w:sz w:val="12"/>
          <w:szCs w:val="12"/>
        </w:rPr>
        <w:t xml:space="preserve">adresse </w:t>
      </w:r>
      <w:r>
        <w:rPr>
          <w:color w:val="000000"/>
          <w:sz w:val="12"/>
          <w:szCs w:val="12"/>
        </w:rPr>
        <w:t xml:space="preserve">ou </w:t>
      </w:r>
      <w:r w:rsidRPr="00A83CE0">
        <w:rPr>
          <w:color w:val="000000"/>
          <w:sz w:val="12"/>
          <w:szCs w:val="12"/>
        </w:rPr>
        <w:t xml:space="preserve">numéro de télécopieur que </w:t>
      </w:r>
      <w:r>
        <w:rPr>
          <w:color w:val="000000"/>
          <w:sz w:val="12"/>
          <w:szCs w:val="12"/>
        </w:rPr>
        <w:t xml:space="preserve">le </w:t>
      </w:r>
      <w:r w:rsidR="003F3FC3">
        <w:rPr>
          <w:color w:val="000000"/>
          <w:sz w:val="12"/>
          <w:szCs w:val="12"/>
        </w:rPr>
        <w:t>Client</w:t>
      </w:r>
      <w:r>
        <w:rPr>
          <w:color w:val="000000"/>
          <w:sz w:val="12"/>
          <w:szCs w:val="12"/>
        </w:rPr>
        <w:t xml:space="preserve"> ou </w:t>
      </w:r>
      <w:r w:rsidRPr="00A83CE0">
        <w:rPr>
          <w:color w:val="000000"/>
          <w:sz w:val="12"/>
          <w:szCs w:val="12"/>
        </w:rPr>
        <w:t xml:space="preserve">Interfor peut par la suite désigner par avis écrit, </w:t>
      </w:r>
      <w:r>
        <w:rPr>
          <w:color w:val="000000"/>
          <w:sz w:val="12"/>
          <w:szCs w:val="12"/>
        </w:rPr>
        <w:t>étant entendu</w:t>
      </w:r>
      <w:r w:rsidRPr="00A83CE0">
        <w:rPr>
          <w:color w:val="000000"/>
          <w:sz w:val="12"/>
          <w:szCs w:val="12"/>
        </w:rPr>
        <w:t xml:space="preserve"> qu’en cas de grève postale ou d’autre conflit ou interruption de travail, tous les avis </w:t>
      </w:r>
      <w:r>
        <w:rPr>
          <w:color w:val="000000"/>
          <w:sz w:val="12"/>
          <w:szCs w:val="12"/>
        </w:rPr>
        <w:t>doivent être</w:t>
      </w:r>
      <w:r w:rsidRPr="00A83CE0">
        <w:rPr>
          <w:color w:val="000000"/>
          <w:sz w:val="12"/>
          <w:szCs w:val="12"/>
        </w:rPr>
        <w:t xml:space="preserve"> envoyés par télécopieur, par </w:t>
      </w:r>
      <w:r>
        <w:rPr>
          <w:color w:val="000000"/>
          <w:sz w:val="12"/>
          <w:szCs w:val="12"/>
        </w:rPr>
        <w:t>courriel</w:t>
      </w:r>
      <w:r w:rsidRPr="00A83CE0">
        <w:rPr>
          <w:color w:val="000000"/>
          <w:sz w:val="12"/>
          <w:szCs w:val="12"/>
        </w:rPr>
        <w:t xml:space="preserve"> ou </w:t>
      </w:r>
      <w:r>
        <w:rPr>
          <w:color w:val="000000"/>
          <w:sz w:val="12"/>
          <w:szCs w:val="12"/>
        </w:rPr>
        <w:t xml:space="preserve">remis en mains propres ou </w:t>
      </w:r>
      <w:r w:rsidRPr="00A83CE0">
        <w:rPr>
          <w:color w:val="000000"/>
          <w:sz w:val="12"/>
          <w:szCs w:val="12"/>
        </w:rPr>
        <w:t>par messager. Tout avis remis par télécopieur, par courriel, en mains propres ou par messager est réputé avoir été reçu au moment de sa remise, et tout avis envoyé par la poste est réputé avoir été reçu cinq (5) jours ouvrables après la mise à la poste.</w:t>
      </w:r>
    </w:p>
    <w:p w14:paraId="492CD4E2" w14:textId="5B4C819B" w:rsidR="00450863" w:rsidRPr="00A83CE0" w:rsidRDefault="00450863" w:rsidP="00450863">
      <w:pPr>
        <w:pStyle w:val="ListParagraph"/>
        <w:numPr>
          <w:ilvl w:val="0"/>
          <w:numId w:val="2"/>
        </w:numPr>
        <w:tabs>
          <w:tab w:val="left" w:pos="652"/>
        </w:tabs>
        <w:spacing w:after="120"/>
        <w:ind w:left="113" w:right="142"/>
        <w:rPr>
          <w:sz w:val="12"/>
          <w:szCs w:val="12"/>
        </w:rPr>
      </w:pPr>
      <w:r>
        <w:rPr>
          <w:b/>
          <w:color w:val="000000"/>
          <w:sz w:val="12"/>
          <w:szCs w:val="12"/>
        </w:rPr>
        <w:t>INTERPRÉTAT</w:t>
      </w:r>
      <w:r w:rsidRPr="00A83CE0">
        <w:rPr>
          <w:b/>
          <w:color w:val="000000"/>
          <w:sz w:val="12"/>
          <w:szCs w:val="12"/>
        </w:rPr>
        <w:t>ION</w:t>
      </w:r>
      <w:r w:rsidRPr="00A83CE0">
        <w:rPr>
          <w:color w:val="000000"/>
          <w:sz w:val="12"/>
          <w:szCs w:val="12"/>
        </w:rPr>
        <w:t>. La</w:t>
      </w:r>
      <w:r>
        <w:rPr>
          <w:color w:val="000000"/>
          <w:sz w:val="12"/>
          <w:szCs w:val="12"/>
        </w:rPr>
        <w:t xml:space="preserve"> </w:t>
      </w:r>
      <w:r w:rsidR="00292D2B">
        <w:rPr>
          <w:color w:val="000000"/>
          <w:sz w:val="12"/>
          <w:szCs w:val="12"/>
        </w:rPr>
        <w:t>Convention</w:t>
      </w:r>
      <w:r w:rsidRPr="00973793">
        <w:rPr>
          <w:color w:val="000000"/>
          <w:sz w:val="12"/>
          <w:szCs w:val="12"/>
        </w:rPr>
        <w:t xml:space="preserve"> est au bénéfice exclusif du </w:t>
      </w:r>
      <w:r w:rsidR="003F3FC3">
        <w:rPr>
          <w:color w:val="000000"/>
          <w:sz w:val="12"/>
          <w:szCs w:val="12"/>
        </w:rPr>
        <w:t>Client</w:t>
      </w:r>
      <w:r w:rsidRPr="00973793">
        <w:rPr>
          <w:color w:val="000000"/>
          <w:sz w:val="12"/>
          <w:szCs w:val="12"/>
        </w:rPr>
        <w:t xml:space="preserve"> et d’Interfor et non d’un tiers. La division de la </w:t>
      </w:r>
      <w:r w:rsidR="00292D2B">
        <w:rPr>
          <w:color w:val="000000"/>
          <w:sz w:val="12"/>
          <w:szCs w:val="12"/>
        </w:rPr>
        <w:t>Convention</w:t>
      </w:r>
      <w:r w:rsidRPr="00973793">
        <w:rPr>
          <w:color w:val="000000"/>
          <w:sz w:val="12"/>
          <w:szCs w:val="12"/>
        </w:rPr>
        <w:t xml:space="preserve"> en clauses et l’insertion de rubriques ne </w:t>
      </w:r>
      <w:r w:rsidR="00AE1E75" w:rsidRPr="00973793">
        <w:rPr>
          <w:color w:val="000000"/>
          <w:sz w:val="12"/>
          <w:szCs w:val="12"/>
        </w:rPr>
        <w:t>vise</w:t>
      </w:r>
      <w:r w:rsidRPr="00973793">
        <w:rPr>
          <w:color w:val="000000"/>
          <w:sz w:val="12"/>
          <w:szCs w:val="12"/>
        </w:rPr>
        <w:t xml:space="preserve"> qu’à en faciliter la consultation et n’ont pas d’incidence sur l’interprétation de la </w:t>
      </w:r>
      <w:r w:rsidR="00292D2B">
        <w:rPr>
          <w:color w:val="000000"/>
          <w:sz w:val="12"/>
          <w:szCs w:val="12"/>
        </w:rPr>
        <w:t>Convention</w:t>
      </w:r>
      <w:r w:rsidRPr="00973793">
        <w:rPr>
          <w:color w:val="000000"/>
          <w:sz w:val="12"/>
          <w:szCs w:val="12"/>
        </w:rPr>
        <w:t xml:space="preserve">. Sauf indication contraire, dans les présentes </w:t>
      </w:r>
      <w:r w:rsidR="003F3FC3">
        <w:rPr>
          <w:color w:val="000000"/>
          <w:sz w:val="12"/>
          <w:szCs w:val="12"/>
        </w:rPr>
        <w:t>Conditions Générales</w:t>
      </w:r>
      <w:r w:rsidRPr="00973793">
        <w:rPr>
          <w:color w:val="000000"/>
          <w:sz w:val="12"/>
          <w:szCs w:val="12"/>
        </w:rPr>
        <w:t xml:space="preserve">, « clause » renvoie à une clause des présentes </w:t>
      </w:r>
      <w:r w:rsidR="003F3FC3">
        <w:rPr>
          <w:color w:val="000000"/>
          <w:sz w:val="12"/>
          <w:szCs w:val="12"/>
        </w:rPr>
        <w:t>Conditions Générales</w:t>
      </w:r>
      <w:r w:rsidRPr="00A83CE0">
        <w:rPr>
          <w:color w:val="000000"/>
          <w:sz w:val="12"/>
          <w:szCs w:val="12"/>
        </w:rPr>
        <w:t>.</w:t>
      </w:r>
      <w:r w:rsidR="00286AE7">
        <w:rPr>
          <w:color w:val="000000"/>
          <w:sz w:val="12"/>
          <w:szCs w:val="12"/>
        </w:rPr>
        <w:t xml:space="preserve"> </w:t>
      </w:r>
      <w:r w:rsidR="00286AE7">
        <w:rPr>
          <w:sz w:val="12"/>
          <w:szCs w:val="12"/>
        </w:rPr>
        <w:t>En cas de divergence, d’inexactitude, d’omission ou d’erreur apparaissant dans la traduction de la présente Convention, la version anglaise, qui peut être consultée sur le site Web d’Inte</w:t>
      </w:r>
      <w:r w:rsidR="00912538">
        <w:rPr>
          <w:sz w:val="12"/>
          <w:szCs w:val="12"/>
        </w:rPr>
        <w:t>rfor à l’adresse</w:t>
      </w:r>
      <w:r w:rsidR="00286AE7">
        <w:rPr>
          <w:sz w:val="12"/>
          <w:szCs w:val="12"/>
        </w:rPr>
        <w:t xml:space="preserve"> </w:t>
      </w:r>
      <w:hyperlink r:id="rId20" w:history="1">
        <w:r w:rsidR="00286AE7" w:rsidRPr="00CA79C1">
          <w:rPr>
            <w:rStyle w:val="Hyperlink"/>
            <w:sz w:val="12"/>
            <w:szCs w:val="12"/>
          </w:rPr>
          <w:t>https://interfor.com/terms-and-conditions/</w:t>
        </w:r>
      </w:hyperlink>
      <w:r w:rsidR="00286AE7">
        <w:rPr>
          <w:sz w:val="12"/>
          <w:szCs w:val="12"/>
        </w:rPr>
        <w:t xml:space="preserve">, prévaudra.  </w:t>
      </w:r>
    </w:p>
    <w:p w14:paraId="57EFCE39" w14:textId="4CD8D9EE" w:rsidR="00450863" w:rsidRPr="00A83CE0" w:rsidRDefault="00450863" w:rsidP="00450863">
      <w:pPr>
        <w:pStyle w:val="ListParagraph"/>
        <w:numPr>
          <w:ilvl w:val="0"/>
          <w:numId w:val="2"/>
        </w:numPr>
        <w:tabs>
          <w:tab w:val="left" w:pos="652"/>
        </w:tabs>
        <w:spacing w:after="120"/>
        <w:ind w:left="113" w:right="40"/>
        <w:rPr>
          <w:sz w:val="12"/>
          <w:szCs w:val="12"/>
        </w:rPr>
      </w:pPr>
      <w:r w:rsidRPr="00A83CE0">
        <w:rPr>
          <w:b/>
          <w:color w:val="000000"/>
          <w:sz w:val="12"/>
          <w:szCs w:val="12"/>
        </w:rPr>
        <w:t>DROIT APPLICABLE</w:t>
      </w:r>
      <w:r w:rsidRPr="00B213CC">
        <w:rPr>
          <w:bCs/>
          <w:color w:val="000000"/>
          <w:sz w:val="12"/>
          <w:szCs w:val="12"/>
        </w:rPr>
        <w:t>.</w:t>
      </w:r>
      <w:r w:rsidRPr="00A83CE0">
        <w:rPr>
          <w:color w:val="000000"/>
          <w:sz w:val="12"/>
          <w:szCs w:val="12"/>
        </w:rPr>
        <w:t xml:space="preserve"> La </w:t>
      </w:r>
      <w:r w:rsidR="00292D2B">
        <w:rPr>
          <w:color w:val="000000"/>
          <w:sz w:val="12"/>
          <w:szCs w:val="12"/>
        </w:rPr>
        <w:t>Convention</w:t>
      </w:r>
      <w:r w:rsidRPr="00886D95">
        <w:rPr>
          <w:color w:val="000000"/>
          <w:sz w:val="12"/>
          <w:szCs w:val="12"/>
        </w:rPr>
        <w:t xml:space="preserve"> est régie </w:t>
      </w:r>
      <w:r>
        <w:rPr>
          <w:color w:val="000000"/>
          <w:sz w:val="12"/>
          <w:szCs w:val="12"/>
        </w:rPr>
        <w:t>par les</w:t>
      </w:r>
      <w:r w:rsidRPr="00886D95">
        <w:rPr>
          <w:color w:val="000000"/>
          <w:sz w:val="12"/>
          <w:szCs w:val="12"/>
        </w:rPr>
        <w:t xml:space="preserve"> lois : a) de la </w:t>
      </w:r>
      <w:r w:rsidRPr="009716FD">
        <w:rPr>
          <w:color w:val="000000"/>
          <w:sz w:val="12"/>
          <w:szCs w:val="12"/>
        </w:rPr>
        <w:t xml:space="preserve">province </w:t>
      </w:r>
      <w:r w:rsidR="0079793D">
        <w:rPr>
          <w:color w:val="000000"/>
          <w:sz w:val="12"/>
          <w:szCs w:val="12"/>
        </w:rPr>
        <w:t xml:space="preserve">du Québec </w:t>
      </w:r>
      <w:r w:rsidRPr="009716FD">
        <w:rPr>
          <w:color w:val="000000"/>
          <w:sz w:val="12"/>
          <w:szCs w:val="12"/>
        </w:rPr>
        <w:t>si</w:t>
      </w:r>
      <w:r w:rsidRPr="002C5CD7">
        <w:rPr>
          <w:color w:val="000000"/>
          <w:sz w:val="12"/>
          <w:szCs w:val="12"/>
        </w:rPr>
        <w:t xml:space="preserve"> les </w:t>
      </w:r>
      <w:r w:rsidR="0079793D">
        <w:rPr>
          <w:color w:val="000000"/>
          <w:sz w:val="12"/>
          <w:szCs w:val="12"/>
        </w:rPr>
        <w:t xml:space="preserve">Produits de bois d’œuvre </w:t>
      </w:r>
      <w:r w:rsidRPr="002C5CD7">
        <w:rPr>
          <w:color w:val="000000"/>
          <w:sz w:val="12"/>
          <w:szCs w:val="12"/>
        </w:rPr>
        <w:t>vendus aux termes des pr</w:t>
      </w:r>
      <w:r w:rsidR="0079793D">
        <w:rPr>
          <w:color w:val="000000"/>
          <w:sz w:val="12"/>
          <w:szCs w:val="12"/>
        </w:rPr>
        <w:t>ésentes sont fabriqués dans la province du Québec</w:t>
      </w:r>
      <w:r w:rsidRPr="00886D95">
        <w:rPr>
          <w:color w:val="000000"/>
          <w:sz w:val="12"/>
          <w:szCs w:val="12"/>
        </w:rPr>
        <w:t>; b)</w:t>
      </w:r>
      <w:r w:rsidR="0079793D" w:rsidRPr="0079793D">
        <w:rPr>
          <w:color w:val="000000"/>
          <w:sz w:val="12"/>
          <w:szCs w:val="12"/>
        </w:rPr>
        <w:t xml:space="preserve"> </w:t>
      </w:r>
      <w:r w:rsidR="0079793D" w:rsidRPr="00886D95">
        <w:rPr>
          <w:color w:val="000000"/>
          <w:sz w:val="12"/>
          <w:szCs w:val="12"/>
        </w:rPr>
        <w:t xml:space="preserve">de la </w:t>
      </w:r>
      <w:r w:rsidR="0079793D" w:rsidRPr="009716FD">
        <w:rPr>
          <w:color w:val="000000"/>
          <w:sz w:val="12"/>
          <w:szCs w:val="12"/>
        </w:rPr>
        <w:t xml:space="preserve">province </w:t>
      </w:r>
      <w:r w:rsidR="0079793D">
        <w:rPr>
          <w:color w:val="000000"/>
          <w:sz w:val="12"/>
          <w:szCs w:val="12"/>
        </w:rPr>
        <w:t xml:space="preserve">de l’Ontario </w:t>
      </w:r>
      <w:r w:rsidR="0079793D" w:rsidRPr="009716FD">
        <w:rPr>
          <w:color w:val="000000"/>
          <w:sz w:val="12"/>
          <w:szCs w:val="12"/>
        </w:rPr>
        <w:t>si</w:t>
      </w:r>
      <w:r w:rsidR="0079793D" w:rsidRPr="002C5CD7">
        <w:rPr>
          <w:color w:val="000000"/>
          <w:sz w:val="12"/>
          <w:szCs w:val="12"/>
        </w:rPr>
        <w:t xml:space="preserve"> les </w:t>
      </w:r>
      <w:r w:rsidR="0079793D">
        <w:rPr>
          <w:color w:val="000000"/>
          <w:sz w:val="12"/>
          <w:szCs w:val="12"/>
        </w:rPr>
        <w:t xml:space="preserve">Produits de bois d’œuvre </w:t>
      </w:r>
      <w:r w:rsidR="0079793D" w:rsidRPr="002C5CD7">
        <w:rPr>
          <w:color w:val="000000"/>
          <w:sz w:val="12"/>
          <w:szCs w:val="12"/>
        </w:rPr>
        <w:t>vendus aux termes des pr</w:t>
      </w:r>
      <w:r w:rsidR="0079793D">
        <w:rPr>
          <w:color w:val="000000"/>
          <w:sz w:val="12"/>
          <w:szCs w:val="12"/>
        </w:rPr>
        <w:t>ésentes sont fabriqués dans la province de l’Ontario</w:t>
      </w:r>
      <w:r w:rsidR="0079793D" w:rsidRPr="00886D95">
        <w:rPr>
          <w:color w:val="000000"/>
          <w:sz w:val="12"/>
          <w:szCs w:val="12"/>
        </w:rPr>
        <w:t>;</w:t>
      </w:r>
      <w:r w:rsidR="0079793D">
        <w:rPr>
          <w:color w:val="000000"/>
          <w:sz w:val="12"/>
          <w:szCs w:val="12"/>
        </w:rPr>
        <w:t xml:space="preserve"> </w:t>
      </w:r>
      <w:r w:rsidR="00D33CBC">
        <w:rPr>
          <w:color w:val="000000"/>
          <w:sz w:val="12"/>
          <w:szCs w:val="12"/>
        </w:rPr>
        <w:t>c) de la province de la Colombie-Britannique si les Produits de bois d’œuvre vendus aux termes des présentes sont fabriqués au Canada</w:t>
      </w:r>
      <w:r w:rsidR="00ED1E84">
        <w:rPr>
          <w:color w:val="000000"/>
          <w:sz w:val="12"/>
          <w:szCs w:val="12"/>
        </w:rPr>
        <w:t>, mais ailleurs qu’au Québec et en Ontario</w:t>
      </w:r>
      <w:r w:rsidR="00D33CBC">
        <w:rPr>
          <w:color w:val="000000"/>
          <w:sz w:val="12"/>
          <w:szCs w:val="12"/>
        </w:rPr>
        <w:t>; d</w:t>
      </w:r>
      <w:r w:rsidR="0079793D">
        <w:rPr>
          <w:color w:val="000000"/>
          <w:sz w:val="12"/>
          <w:szCs w:val="12"/>
        </w:rPr>
        <w:t>)</w:t>
      </w:r>
      <w:r w:rsidR="002674E5">
        <w:rPr>
          <w:color w:val="000000"/>
          <w:sz w:val="12"/>
          <w:szCs w:val="12"/>
        </w:rPr>
        <w:t xml:space="preserve"> </w:t>
      </w:r>
      <w:r w:rsidRPr="00886D95">
        <w:rPr>
          <w:color w:val="000000"/>
          <w:sz w:val="12"/>
          <w:szCs w:val="12"/>
        </w:rPr>
        <w:t xml:space="preserve">de l’État de Washington </w:t>
      </w:r>
      <w:r w:rsidRPr="00BD7847">
        <w:rPr>
          <w:color w:val="000000"/>
          <w:sz w:val="12"/>
          <w:szCs w:val="12"/>
        </w:rPr>
        <w:t xml:space="preserve">si les </w:t>
      </w:r>
      <w:r w:rsidR="0079793D">
        <w:rPr>
          <w:color w:val="000000"/>
          <w:sz w:val="12"/>
          <w:szCs w:val="12"/>
        </w:rPr>
        <w:t xml:space="preserve">Produits de bois d’œuvre </w:t>
      </w:r>
      <w:r w:rsidRPr="00BD7847">
        <w:rPr>
          <w:color w:val="000000"/>
          <w:sz w:val="12"/>
          <w:szCs w:val="12"/>
        </w:rPr>
        <w:t xml:space="preserve">vendus aux termes des présentes sont fabriqués </w:t>
      </w:r>
      <w:r>
        <w:rPr>
          <w:color w:val="000000"/>
          <w:sz w:val="12"/>
          <w:szCs w:val="12"/>
        </w:rPr>
        <w:t>dans les États</w:t>
      </w:r>
      <w:r w:rsidRPr="00BD7847">
        <w:rPr>
          <w:color w:val="000000"/>
          <w:sz w:val="12"/>
          <w:szCs w:val="12"/>
        </w:rPr>
        <w:t xml:space="preserve"> </w:t>
      </w:r>
      <w:r>
        <w:rPr>
          <w:color w:val="000000"/>
          <w:sz w:val="12"/>
          <w:szCs w:val="12"/>
        </w:rPr>
        <w:t xml:space="preserve">de </w:t>
      </w:r>
      <w:r w:rsidRPr="00886D95">
        <w:rPr>
          <w:color w:val="000000"/>
          <w:sz w:val="12"/>
          <w:szCs w:val="12"/>
        </w:rPr>
        <w:t xml:space="preserve">Washington ou </w:t>
      </w:r>
      <w:r>
        <w:rPr>
          <w:color w:val="000000"/>
          <w:sz w:val="12"/>
          <w:szCs w:val="12"/>
        </w:rPr>
        <w:t>de</w:t>
      </w:r>
      <w:r w:rsidRPr="00886D95">
        <w:rPr>
          <w:color w:val="000000"/>
          <w:sz w:val="12"/>
          <w:szCs w:val="12"/>
        </w:rPr>
        <w:t xml:space="preserve"> l’Oregon; </w:t>
      </w:r>
      <w:r>
        <w:rPr>
          <w:color w:val="000000"/>
          <w:sz w:val="12"/>
          <w:szCs w:val="12"/>
        </w:rPr>
        <w:t>ou</w:t>
      </w:r>
      <w:r w:rsidRPr="00886D95">
        <w:rPr>
          <w:color w:val="000000"/>
          <w:sz w:val="12"/>
          <w:szCs w:val="12"/>
        </w:rPr>
        <w:t xml:space="preserve"> </w:t>
      </w:r>
      <w:r w:rsidR="00D33CBC">
        <w:rPr>
          <w:color w:val="000000"/>
          <w:sz w:val="12"/>
          <w:szCs w:val="12"/>
        </w:rPr>
        <w:t>e</w:t>
      </w:r>
      <w:r w:rsidRPr="00886D95">
        <w:rPr>
          <w:color w:val="000000"/>
          <w:sz w:val="12"/>
          <w:szCs w:val="12"/>
        </w:rPr>
        <w:t xml:space="preserve">) de l’État de Géorgie </w:t>
      </w:r>
      <w:r w:rsidRPr="00C67152">
        <w:rPr>
          <w:color w:val="000000"/>
          <w:sz w:val="12"/>
          <w:szCs w:val="12"/>
        </w:rPr>
        <w:t xml:space="preserve">si les </w:t>
      </w:r>
      <w:r w:rsidR="0079793D">
        <w:rPr>
          <w:color w:val="000000"/>
          <w:sz w:val="12"/>
          <w:szCs w:val="12"/>
        </w:rPr>
        <w:t xml:space="preserve">Produits de bois d’œuvre </w:t>
      </w:r>
      <w:r w:rsidRPr="00C67152">
        <w:rPr>
          <w:color w:val="000000"/>
          <w:sz w:val="12"/>
          <w:szCs w:val="12"/>
        </w:rPr>
        <w:t>vendus aux termes des présentes sont fabriqués dans tout autre État aux États-Unis</w:t>
      </w:r>
      <w:r>
        <w:rPr>
          <w:color w:val="000000"/>
          <w:sz w:val="12"/>
          <w:szCs w:val="12"/>
        </w:rPr>
        <w:t xml:space="preserve">, </w:t>
      </w:r>
      <w:r w:rsidRPr="00886D95">
        <w:rPr>
          <w:color w:val="000000"/>
          <w:sz w:val="12"/>
          <w:szCs w:val="12"/>
        </w:rPr>
        <w:t xml:space="preserve">dans chaque cas sans tenir compte des règles de conflit de lois du territoire applicable. Chacune des parties convient irrévocablement que toute action, poursuite ou instance judiciaire découlant de la </w:t>
      </w:r>
      <w:r w:rsidR="00292D2B">
        <w:rPr>
          <w:color w:val="000000"/>
          <w:sz w:val="12"/>
          <w:szCs w:val="12"/>
        </w:rPr>
        <w:t>Convention</w:t>
      </w:r>
      <w:r w:rsidRPr="00886D95">
        <w:rPr>
          <w:color w:val="000000"/>
          <w:sz w:val="12"/>
          <w:szCs w:val="12"/>
        </w:rPr>
        <w:t xml:space="preserve"> ou des opérations envisagées dans la </w:t>
      </w:r>
      <w:r w:rsidR="00292D2B">
        <w:rPr>
          <w:color w:val="000000"/>
          <w:sz w:val="12"/>
          <w:szCs w:val="12"/>
        </w:rPr>
        <w:t>Convention</w:t>
      </w:r>
      <w:r w:rsidRPr="00886D95">
        <w:rPr>
          <w:color w:val="000000"/>
          <w:sz w:val="12"/>
          <w:szCs w:val="12"/>
        </w:rPr>
        <w:t xml:space="preserve"> ou s’y rapportant </w:t>
      </w:r>
      <w:r w:rsidRPr="00A1669E">
        <w:rPr>
          <w:color w:val="000000"/>
          <w:sz w:val="12"/>
          <w:szCs w:val="12"/>
        </w:rPr>
        <w:t>(« </w:t>
      </w:r>
      <w:r w:rsidR="0079793D">
        <w:rPr>
          <w:b/>
          <w:color w:val="000000"/>
          <w:sz w:val="12"/>
          <w:szCs w:val="12"/>
        </w:rPr>
        <w:t xml:space="preserve">Action en justice </w:t>
      </w:r>
      <w:r w:rsidRPr="00A1669E">
        <w:rPr>
          <w:color w:val="000000"/>
          <w:sz w:val="12"/>
          <w:szCs w:val="12"/>
        </w:rPr>
        <w:t xml:space="preserve">») </w:t>
      </w:r>
      <w:r w:rsidRPr="00886D95">
        <w:rPr>
          <w:color w:val="000000"/>
          <w:sz w:val="12"/>
          <w:szCs w:val="12"/>
        </w:rPr>
        <w:t xml:space="preserve">ne peut être intentée et tranchée : i) </w:t>
      </w:r>
      <w:r w:rsidR="00D33CBC" w:rsidRPr="00886D95">
        <w:rPr>
          <w:color w:val="000000"/>
          <w:sz w:val="12"/>
          <w:szCs w:val="12"/>
        </w:rPr>
        <w:t xml:space="preserve">que devant les tribunaux </w:t>
      </w:r>
      <w:r w:rsidR="00D33CBC">
        <w:rPr>
          <w:color w:val="000000"/>
          <w:sz w:val="12"/>
          <w:szCs w:val="12"/>
        </w:rPr>
        <w:t>du Québec</w:t>
      </w:r>
      <w:r w:rsidR="00D33CBC" w:rsidRPr="00886D95">
        <w:rPr>
          <w:color w:val="000000"/>
          <w:sz w:val="12"/>
          <w:szCs w:val="12"/>
        </w:rPr>
        <w:t xml:space="preserve"> siégeant à </w:t>
      </w:r>
      <w:r w:rsidR="00D33CBC">
        <w:rPr>
          <w:color w:val="000000"/>
          <w:sz w:val="12"/>
          <w:szCs w:val="12"/>
        </w:rPr>
        <w:t>Montréal</w:t>
      </w:r>
      <w:r w:rsidR="00D33CBC" w:rsidRPr="00886D95">
        <w:rPr>
          <w:color w:val="000000"/>
          <w:sz w:val="12"/>
          <w:szCs w:val="12"/>
        </w:rPr>
        <w:t xml:space="preserve">, dans le cas où la </w:t>
      </w:r>
      <w:r w:rsidR="00292D2B">
        <w:rPr>
          <w:color w:val="000000"/>
          <w:sz w:val="12"/>
          <w:szCs w:val="12"/>
        </w:rPr>
        <w:t>Convention</w:t>
      </w:r>
      <w:r w:rsidR="00D33CBC" w:rsidRPr="00886D95">
        <w:rPr>
          <w:color w:val="000000"/>
          <w:sz w:val="12"/>
          <w:szCs w:val="12"/>
        </w:rPr>
        <w:t xml:space="preserve"> est régie pa</w:t>
      </w:r>
      <w:r w:rsidR="00D33CBC">
        <w:rPr>
          <w:color w:val="000000"/>
          <w:sz w:val="12"/>
          <w:szCs w:val="12"/>
        </w:rPr>
        <w:t>r les lois de la province du Québec; ii) que devant les tribunaux de l’Ontario siégeant à Toronto</w:t>
      </w:r>
      <w:r w:rsidR="00D33CBC" w:rsidRPr="00886D95">
        <w:rPr>
          <w:color w:val="000000"/>
          <w:sz w:val="12"/>
          <w:szCs w:val="12"/>
        </w:rPr>
        <w:t xml:space="preserve">, dans le cas où la </w:t>
      </w:r>
      <w:r w:rsidR="00292D2B">
        <w:rPr>
          <w:color w:val="000000"/>
          <w:sz w:val="12"/>
          <w:szCs w:val="12"/>
        </w:rPr>
        <w:t>Convention</w:t>
      </w:r>
      <w:r w:rsidR="00D33CBC" w:rsidRPr="00886D95">
        <w:rPr>
          <w:color w:val="000000"/>
          <w:sz w:val="12"/>
          <w:szCs w:val="12"/>
        </w:rPr>
        <w:t xml:space="preserve"> est régie par les lois de la province </w:t>
      </w:r>
      <w:r w:rsidR="00D33CBC">
        <w:rPr>
          <w:color w:val="000000"/>
          <w:sz w:val="12"/>
          <w:szCs w:val="12"/>
        </w:rPr>
        <w:t xml:space="preserve">de l’Ontario; iii) </w:t>
      </w:r>
      <w:r w:rsidRPr="00886D95">
        <w:rPr>
          <w:color w:val="000000"/>
          <w:sz w:val="12"/>
          <w:szCs w:val="12"/>
        </w:rPr>
        <w:t xml:space="preserve">que devant les tribunaux de la Colombie-Britannique siégeant à Vancouver, dans le cas où la </w:t>
      </w:r>
      <w:r w:rsidR="00292D2B">
        <w:rPr>
          <w:color w:val="000000"/>
          <w:sz w:val="12"/>
          <w:szCs w:val="12"/>
        </w:rPr>
        <w:t>Convention</w:t>
      </w:r>
      <w:r w:rsidRPr="00886D95">
        <w:rPr>
          <w:color w:val="000000"/>
          <w:sz w:val="12"/>
          <w:szCs w:val="12"/>
        </w:rPr>
        <w:t xml:space="preserve"> est régie par les lois de la province de la Colombie-Britannique; </w:t>
      </w:r>
      <w:r w:rsidR="00D33CBC">
        <w:rPr>
          <w:color w:val="000000"/>
          <w:sz w:val="12"/>
          <w:szCs w:val="12"/>
        </w:rPr>
        <w:t>iv</w:t>
      </w:r>
      <w:r w:rsidRPr="00886D95">
        <w:rPr>
          <w:color w:val="000000"/>
          <w:sz w:val="12"/>
          <w:szCs w:val="12"/>
        </w:rPr>
        <w:t xml:space="preserve">) que devant un tribunal fédéral ou étatique de Seattle, dans le cas où la </w:t>
      </w:r>
      <w:r w:rsidR="00292D2B">
        <w:rPr>
          <w:color w:val="000000"/>
          <w:sz w:val="12"/>
          <w:szCs w:val="12"/>
        </w:rPr>
        <w:t>Convention</w:t>
      </w:r>
      <w:r w:rsidRPr="00886D95">
        <w:rPr>
          <w:color w:val="000000"/>
          <w:sz w:val="12"/>
          <w:szCs w:val="12"/>
        </w:rPr>
        <w:t xml:space="preserve"> est régie par les lois de l’État de Washington; et </w:t>
      </w:r>
      <w:r w:rsidR="00D33CBC">
        <w:rPr>
          <w:color w:val="000000"/>
          <w:sz w:val="12"/>
          <w:szCs w:val="12"/>
        </w:rPr>
        <w:t>v</w:t>
      </w:r>
      <w:r w:rsidRPr="00886D95">
        <w:rPr>
          <w:color w:val="000000"/>
          <w:sz w:val="12"/>
          <w:szCs w:val="12"/>
        </w:rPr>
        <w:t xml:space="preserve">) que devant un tribunal fédéral ou étatique d’Atlanta, dans le cas où la </w:t>
      </w:r>
      <w:r w:rsidR="00292D2B">
        <w:rPr>
          <w:color w:val="000000"/>
          <w:sz w:val="12"/>
          <w:szCs w:val="12"/>
        </w:rPr>
        <w:t>Convention</w:t>
      </w:r>
      <w:r w:rsidRPr="00886D95">
        <w:rPr>
          <w:color w:val="000000"/>
          <w:sz w:val="12"/>
          <w:szCs w:val="12"/>
        </w:rPr>
        <w:t xml:space="preserve"> est régie par les lois de l’État de Géorgie (ou tout autre tribunal qui entend les appels de ces tribunaux), et chacune des parties se soumet irrévocablement à la compétence exclusive du tribunal compétent</w:t>
      </w:r>
      <w:r>
        <w:rPr>
          <w:color w:val="000000"/>
          <w:sz w:val="12"/>
          <w:szCs w:val="12"/>
        </w:rPr>
        <w:t>.</w:t>
      </w:r>
      <w:r w:rsidRPr="00886D95">
        <w:rPr>
          <w:color w:val="000000"/>
          <w:sz w:val="12"/>
          <w:szCs w:val="12"/>
        </w:rPr>
        <w:t xml:space="preserve"> Chaque partie renonce à son droit d’exiger un procès devant j</w:t>
      </w:r>
      <w:r w:rsidR="00BC31F5">
        <w:rPr>
          <w:color w:val="000000"/>
          <w:sz w:val="12"/>
          <w:szCs w:val="12"/>
        </w:rPr>
        <w:t>ury et convient que toutes les A</w:t>
      </w:r>
      <w:r w:rsidRPr="00886D95">
        <w:rPr>
          <w:color w:val="000000"/>
          <w:sz w:val="12"/>
          <w:szCs w:val="12"/>
        </w:rPr>
        <w:t xml:space="preserve">ctions </w:t>
      </w:r>
      <w:r>
        <w:rPr>
          <w:color w:val="000000"/>
          <w:sz w:val="12"/>
          <w:szCs w:val="12"/>
        </w:rPr>
        <w:t xml:space="preserve">en justice </w:t>
      </w:r>
      <w:r w:rsidRPr="00886D95">
        <w:rPr>
          <w:color w:val="000000"/>
          <w:sz w:val="12"/>
          <w:szCs w:val="12"/>
        </w:rPr>
        <w:t>seront instruites devant un juge sans jury</w:t>
      </w:r>
      <w:r w:rsidRPr="00A83CE0">
        <w:rPr>
          <w:color w:val="000000"/>
          <w:sz w:val="12"/>
          <w:szCs w:val="12"/>
        </w:rPr>
        <w:t>.</w:t>
      </w:r>
    </w:p>
    <w:p w14:paraId="25C73EAB" w14:textId="236DF9C1" w:rsidR="00450863" w:rsidRPr="00292D2B" w:rsidRDefault="00450863" w:rsidP="00450863">
      <w:pPr>
        <w:pStyle w:val="ListParagraph"/>
        <w:numPr>
          <w:ilvl w:val="0"/>
          <w:numId w:val="2"/>
        </w:numPr>
        <w:tabs>
          <w:tab w:val="left" w:pos="652"/>
        </w:tabs>
        <w:spacing w:after="120"/>
        <w:ind w:right="144"/>
        <w:rPr>
          <w:b/>
          <w:color w:val="000000"/>
          <w:sz w:val="12"/>
          <w:szCs w:val="12"/>
        </w:rPr>
      </w:pPr>
      <w:r w:rsidRPr="00A83CE0">
        <w:rPr>
          <w:b/>
          <w:color w:val="000000"/>
          <w:sz w:val="12"/>
          <w:szCs w:val="12"/>
        </w:rPr>
        <w:t>SITU</w:t>
      </w:r>
      <w:r>
        <w:rPr>
          <w:b/>
          <w:color w:val="000000"/>
          <w:sz w:val="12"/>
          <w:szCs w:val="12"/>
        </w:rPr>
        <w:t>S</w:t>
      </w:r>
      <w:r w:rsidRPr="00A83CE0">
        <w:rPr>
          <w:b/>
          <w:color w:val="000000"/>
          <w:sz w:val="12"/>
          <w:szCs w:val="12"/>
        </w:rPr>
        <w:t xml:space="preserve"> DE L</w:t>
      </w:r>
      <w:r>
        <w:rPr>
          <w:b/>
          <w:color w:val="000000"/>
          <w:sz w:val="12"/>
          <w:szCs w:val="12"/>
        </w:rPr>
        <w:t xml:space="preserve">A </w:t>
      </w:r>
      <w:r w:rsidR="00292D2B">
        <w:rPr>
          <w:b/>
          <w:color w:val="000000"/>
          <w:sz w:val="12"/>
          <w:szCs w:val="12"/>
        </w:rPr>
        <w:t>CONVENTION</w:t>
      </w:r>
      <w:r w:rsidRPr="00A83CE0">
        <w:rPr>
          <w:color w:val="000000"/>
          <w:sz w:val="12"/>
          <w:szCs w:val="12"/>
        </w:rPr>
        <w:t>. L</w:t>
      </w:r>
      <w:r>
        <w:rPr>
          <w:color w:val="000000"/>
          <w:sz w:val="12"/>
          <w:szCs w:val="12"/>
        </w:rPr>
        <w:t xml:space="preserve">a </w:t>
      </w:r>
      <w:r w:rsidR="00292D2B">
        <w:rPr>
          <w:color w:val="000000"/>
          <w:sz w:val="12"/>
          <w:szCs w:val="12"/>
        </w:rPr>
        <w:t>Convention</w:t>
      </w:r>
      <w:r w:rsidRPr="00A83CE0">
        <w:rPr>
          <w:color w:val="000000"/>
          <w:sz w:val="12"/>
          <w:szCs w:val="12"/>
        </w:rPr>
        <w:t xml:space="preserve"> est réputé</w:t>
      </w:r>
      <w:r>
        <w:rPr>
          <w:color w:val="000000"/>
          <w:sz w:val="12"/>
          <w:szCs w:val="12"/>
        </w:rPr>
        <w:t>e</w:t>
      </w:r>
      <w:r w:rsidRPr="00A83CE0">
        <w:rPr>
          <w:color w:val="000000"/>
          <w:sz w:val="12"/>
          <w:szCs w:val="12"/>
        </w:rPr>
        <w:t xml:space="preserve"> avoir été conclu</w:t>
      </w:r>
      <w:r>
        <w:rPr>
          <w:color w:val="000000"/>
          <w:sz w:val="12"/>
          <w:szCs w:val="12"/>
        </w:rPr>
        <w:t>e</w:t>
      </w:r>
      <w:r w:rsidRPr="00A83CE0">
        <w:rPr>
          <w:color w:val="000000"/>
          <w:sz w:val="12"/>
          <w:szCs w:val="12"/>
        </w:rPr>
        <w:t xml:space="preserve"> : a) dans la province </w:t>
      </w:r>
      <w:r w:rsidR="009716FD" w:rsidRPr="0008245D">
        <w:rPr>
          <w:color w:val="000000"/>
          <w:sz w:val="12"/>
          <w:szCs w:val="12"/>
        </w:rPr>
        <w:t>du Québec</w:t>
      </w:r>
      <w:r w:rsidRPr="00A83CE0">
        <w:rPr>
          <w:color w:val="000000"/>
          <w:sz w:val="12"/>
          <w:szCs w:val="12"/>
        </w:rPr>
        <w:t xml:space="preserve">, si les </w:t>
      </w:r>
      <w:r w:rsidR="0079793D">
        <w:rPr>
          <w:color w:val="000000"/>
          <w:sz w:val="12"/>
          <w:szCs w:val="12"/>
        </w:rPr>
        <w:t xml:space="preserve">Produits de bois d’œuvre </w:t>
      </w:r>
      <w:r w:rsidRPr="00A83CE0">
        <w:rPr>
          <w:color w:val="000000"/>
          <w:sz w:val="12"/>
          <w:szCs w:val="12"/>
        </w:rPr>
        <w:t xml:space="preserve">vendus aux termes des présentes sont fabriqués au </w:t>
      </w:r>
      <w:r w:rsidR="0008245D">
        <w:rPr>
          <w:color w:val="000000"/>
          <w:sz w:val="12"/>
          <w:szCs w:val="12"/>
        </w:rPr>
        <w:t>Québec</w:t>
      </w:r>
      <w:r w:rsidRPr="00A83CE0">
        <w:rPr>
          <w:color w:val="000000"/>
          <w:sz w:val="12"/>
          <w:szCs w:val="12"/>
        </w:rPr>
        <w:t xml:space="preserve">; </w:t>
      </w:r>
      <w:r w:rsidR="0008245D">
        <w:rPr>
          <w:color w:val="000000"/>
          <w:sz w:val="12"/>
          <w:szCs w:val="12"/>
        </w:rPr>
        <w:t xml:space="preserve">b) </w:t>
      </w:r>
      <w:r w:rsidR="0008245D" w:rsidRPr="00A83CE0">
        <w:rPr>
          <w:color w:val="000000"/>
          <w:sz w:val="12"/>
          <w:szCs w:val="12"/>
        </w:rPr>
        <w:t xml:space="preserve">dans la province </w:t>
      </w:r>
      <w:r w:rsidR="0008245D">
        <w:rPr>
          <w:color w:val="000000"/>
          <w:sz w:val="12"/>
          <w:szCs w:val="12"/>
        </w:rPr>
        <w:t>de l’Ontario</w:t>
      </w:r>
      <w:r w:rsidR="0008245D" w:rsidRPr="00A83CE0">
        <w:rPr>
          <w:color w:val="000000"/>
          <w:sz w:val="12"/>
          <w:szCs w:val="12"/>
        </w:rPr>
        <w:t xml:space="preserve">, si les </w:t>
      </w:r>
      <w:r w:rsidR="0008245D">
        <w:rPr>
          <w:color w:val="000000"/>
          <w:sz w:val="12"/>
          <w:szCs w:val="12"/>
        </w:rPr>
        <w:t xml:space="preserve">Produits de bois d’œuvre </w:t>
      </w:r>
      <w:r w:rsidR="0008245D" w:rsidRPr="00A83CE0">
        <w:rPr>
          <w:color w:val="000000"/>
          <w:sz w:val="12"/>
          <w:szCs w:val="12"/>
        </w:rPr>
        <w:t xml:space="preserve">vendus aux termes </w:t>
      </w:r>
      <w:r w:rsidR="0008245D">
        <w:rPr>
          <w:color w:val="000000"/>
          <w:sz w:val="12"/>
          <w:szCs w:val="12"/>
        </w:rPr>
        <w:t>des présentes sont fabriqués en Ontario; c) dans la province de la Colombie-Britannique, si les Produits de bois d’œuvre vendus aux termes des présentes sont fabriqués</w:t>
      </w:r>
      <w:r w:rsidR="00ED1E84">
        <w:rPr>
          <w:color w:val="000000"/>
          <w:sz w:val="12"/>
          <w:szCs w:val="12"/>
        </w:rPr>
        <w:t xml:space="preserve"> au Canada, mais ailleurs qu’au Québec et en Ontario</w:t>
      </w:r>
      <w:r w:rsidR="0008245D">
        <w:rPr>
          <w:color w:val="000000"/>
          <w:sz w:val="12"/>
          <w:szCs w:val="12"/>
        </w:rPr>
        <w:t>;</w:t>
      </w:r>
      <w:r w:rsidR="0008245D" w:rsidRPr="00A83CE0">
        <w:rPr>
          <w:color w:val="000000"/>
          <w:sz w:val="12"/>
          <w:szCs w:val="12"/>
        </w:rPr>
        <w:t xml:space="preserve"> </w:t>
      </w:r>
      <w:r w:rsidR="0008245D">
        <w:rPr>
          <w:color w:val="000000"/>
          <w:sz w:val="12"/>
          <w:szCs w:val="12"/>
        </w:rPr>
        <w:t>d</w:t>
      </w:r>
      <w:r w:rsidRPr="00A83CE0">
        <w:rPr>
          <w:color w:val="000000"/>
          <w:sz w:val="12"/>
          <w:szCs w:val="12"/>
        </w:rPr>
        <w:t xml:space="preserve">) dans l’État de Washington, si les </w:t>
      </w:r>
      <w:r w:rsidR="0079793D">
        <w:rPr>
          <w:color w:val="000000"/>
          <w:sz w:val="12"/>
          <w:szCs w:val="12"/>
        </w:rPr>
        <w:t xml:space="preserve">Produits de bois d’œuvre </w:t>
      </w:r>
      <w:r w:rsidRPr="00A83CE0">
        <w:rPr>
          <w:color w:val="000000"/>
          <w:sz w:val="12"/>
          <w:szCs w:val="12"/>
        </w:rPr>
        <w:t xml:space="preserve">vendus aux termes des présentes sont fabriqués dans les États de Washington ou de l’Oregon; ou </w:t>
      </w:r>
      <w:r w:rsidR="0008245D">
        <w:rPr>
          <w:color w:val="000000"/>
          <w:sz w:val="12"/>
          <w:szCs w:val="12"/>
        </w:rPr>
        <w:t>e</w:t>
      </w:r>
      <w:r w:rsidRPr="00A83CE0">
        <w:rPr>
          <w:color w:val="000000"/>
          <w:sz w:val="12"/>
          <w:szCs w:val="12"/>
        </w:rPr>
        <w:t xml:space="preserve">) dans l’État de la Géorgie si les </w:t>
      </w:r>
      <w:r w:rsidR="0079793D">
        <w:rPr>
          <w:color w:val="000000"/>
          <w:sz w:val="12"/>
          <w:szCs w:val="12"/>
        </w:rPr>
        <w:t xml:space="preserve">Produits de bois d’œuvre </w:t>
      </w:r>
      <w:r w:rsidRPr="00A83CE0">
        <w:rPr>
          <w:color w:val="000000"/>
          <w:sz w:val="12"/>
          <w:szCs w:val="12"/>
        </w:rPr>
        <w:t>vendus aux termes des présentes sont fabriqués dans un autre État des États-Unis.</w:t>
      </w:r>
    </w:p>
    <w:p w14:paraId="0F29B3E6" w14:textId="77777777" w:rsidR="00450863" w:rsidRPr="00F45EA6" w:rsidRDefault="00450863" w:rsidP="00450863">
      <w:pPr>
        <w:pStyle w:val="ListParagraph"/>
        <w:tabs>
          <w:tab w:val="left" w:pos="652"/>
        </w:tabs>
        <w:ind w:left="113" w:right="40"/>
        <w:rPr>
          <w:sz w:val="12"/>
          <w:szCs w:val="12"/>
        </w:rPr>
      </w:pPr>
    </w:p>
    <w:p w14:paraId="6E778BC7" w14:textId="77777777" w:rsidR="00F45EA6" w:rsidRPr="00450863" w:rsidRDefault="00F45EA6" w:rsidP="00450863">
      <w:pPr>
        <w:tabs>
          <w:tab w:val="left" w:pos="652"/>
        </w:tabs>
        <w:ind w:right="40"/>
        <w:rPr>
          <w:sz w:val="12"/>
          <w:szCs w:val="12"/>
        </w:rPr>
      </w:pPr>
    </w:p>
    <w:p w14:paraId="363944C6" w14:textId="2F593B81" w:rsidR="005A01A8" w:rsidRPr="00450863" w:rsidRDefault="005A01A8" w:rsidP="00450863">
      <w:pPr>
        <w:tabs>
          <w:tab w:val="left" w:pos="652"/>
        </w:tabs>
        <w:ind w:right="40"/>
        <w:rPr>
          <w:sz w:val="12"/>
          <w:szCs w:val="12"/>
        </w:rPr>
      </w:pPr>
    </w:p>
    <w:sectPr w:rsidR="005A01A8" w:rsidRPr="00450863" w:rsidSect="008101F6">
      <w:type w:val="continuous"/>
      <w:pgSz w:w="12240" w:h="15840"/>
      <w:pgMar w:top="720" w:right="720" w:bottom="720" w:left="720" w:header="964" w:footer="107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E6AF6" w14:textId="77777777" w:rsidR="00CC3677" w:rsidRDefault="00CC3677" w:rsidP="00A83CE0">
      <w:r>
        <w:separator/>
      </w:r>
    </w:p>
  </w:endnote>
  <w:endnote w:type="continuationSeparator" w:id="0">
    <w:p w14:paraId="0F4A4D74" w14:textId="77777777" w:rsidR="00CC3677" w:rsidRDefault="00CC3677" w:rsidP="00A8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2099" w14:textId="11AFD0A1" w:rsidR="00497761" w:rsidRDefault="005A01A8">
    <w:pPr>
      <w:pStyle w:val="BodyText"/>
      <w:spacing w:line="14" w:lineRule="auto"/>
      <w:jc w:val="left"/>
      <w:rPr>
        <w:sz w:val="20"/>
      </w:rPr>
    </w:pPr>
    <w:r>
      <w:rPr>
        <w:noProof/>
        <w:color w:val="000000"/>
        <w:lang w:eastAsia="fr-CA"/>
      </w:rPr>
      <mc:AlternateContent>
        <mc:Choice Requires="wps">
          <w:drawing>
            <wp:anchor distT="0" distB="0" distL="114300" distR="114300" simplePos="0" relativeHeight="251659264" behindDoc="1" locked="0" layoutInCell="1" allowOverlap="1" wp14:anchorId="0B37FB39" wp14:editId="7357FDC8">
              <wp:simplePos x="0" y="0"/>
              <wp:positionH relativeFrom="page">
                <wp:posOffset>638175</wp:posOffset>
              </wp:positionH>
              <wp:positionV relativeFrom="page">
                <wp:posOffset>9586595</wp:posOffset>
              </wp:positionV>
              <wp:extent cx="3630930" cy="2114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93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F4501" w14:textId="3F4B5AB5" w:rsidR="00497761" w:rsidRDefault="000542C6">
                          <w:pPr>
                            <w:pStyle w:val="BodyText"/>
                            <w:spacing w:before="20"/>
                            <w:ind w:left="20"/>
                            <w:jc w:val="left"/>
                          </w:pPr>
                          <w:r>
                            <w:rPr>
                              <w:color w:val="000000"/>
                            </w:rPr>
                            <w:t xml:space="preserve">CONDITIONS </w:t>
                          </w:r>
                          <w:r w:rsidR="008036A2">
                            <w:rPr>
                              <w:color w:val="000000"/>
                            </w:rPr>
                            <w:t xml:space="preserve">GÉNÉRALES </w:t>
                          </w:r>
                          <w:r>
                            <w:rPr>
                              <w:color w:val="000000"/>
                            </w:rPr>
                            <w:t xml:space="preserve">DE VENTE DES PRODUITS </w:t>
                          </w:r>
                          <w:r w:rsidR="008036A2">
                            <w:rPr>
                              <w:color w:val="000000"/>
                            </w:rPr>
                            <w:t>DE</w:t>
                          </w:r>
                          <w:r>
                            <w:rPr>
                              <w:color w:val="000000"/>
                            </w:rPr>
                            <w:t xml:space="preserve"> BOIS </w:t>
                          </w:r>
                          <w:r w:rsidR="008036A2">
                            <w:rPr>
                              <w:color w:val="000000"/>
                            </w:rPr>
                            <w:t xml:space="preserve">D’ŒUVRE </w:t>
                          </w:r>
                          <w:r>
                            <w:rPr>
                              <w:color w:val="000000"/>
                            </w:rPr>
                            <w:t xml:space="preserve">(AMÉRIQUE DU NORD ET EXPORTATION) </w:t>
                          </w:r>
                          <w:r w:rsidR="00DD474A">
                            <w:rPr>
                              <w:color w:val="000000"/>
                            </w:rPr>
                            <w:t>(</w:t>
                          </w:r>
                          <w:r w:rsidR="008036A2">
                            <w:rPr>
                              <w:color w:val="000000"/>
                            </w:rPr>
                            <w:t>V</w:t>
                          </w:r>
                          <w:r>
                            <w:rPr>
                              <w:color w:val="000000"/>
                            </w:rPr>
                            <w:t xml:space="preserve">. </w:t>
                          </w:r>
                          <w:r w:rsidR="00BC7F36">
                            <w:rPr>
                              <w:color w:val="000000"/>
                            </w:rPr>
                            <w:t>2022-11-02</w:t>
                          </w:r>
                          <w:r w:rsidR="00DD474A">
                            <w:rPr>
                              <w:color w:val="00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7FB39" id="_x0000_t202" coordsize="21600,21600" o:spt="202" path="m,l,21600r21600,l21600,xe">
              <v:stroke joinstyle="miter"/>
              <v:path gradientshapeok="t" o:connecttype="rect"/>
            </v:shapetype>
            <v:shape id="Text Box 2" o:spid="_x0000_s1027" type="#_x0000_t202" style="position:absolute;margin-left:50.25pt;margin-top:754.85pt;width:285.9pt;height:1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Dv1gEAAJEDAAAOAAAAZHJzL2Uyb0RvYy54bWysU8Fu1DAQvSPxD5bvbJJdWkG02aq0KkIq&#10;FKn0AxzHTiwSjxl7N1m+nrGz2QK9IS7WZMZ+896byfZqGnp2UOgN2IoXq5wzZSU0xrYVf/p29+Yd&#10;Zz4I24gerKr4UXl+tXv9aju6Uq2hg75RyAjE+nJ0Fe9CcGWWedmpQfgVOGWpqAEHEegT26xBMRL6&#10;0GfrPL/MRsDGIUjlPWVv5yLfJXytlQwPWnsVWF9x4hbSiems45nttqJsUbjOyBMN8Q8sBmEsNT1D&#10;3Yog2B7NC6jBSAQPOqwkDBlobaRKGkhNkf+l5rETTiUtZI53Z5v8/4OVXw6P7iuyMH2AiQaYRHh3&#10;D/K7ZxZuOmFbdY0IY6dEQ42LaFk2Ol+enkarfekjSD1+hoaGLPYBEtCkcYiukE5G6DSA49l0NQUm&#10;Kbm53OTvN1SSVFsXxduLi9RClMtrhz58VDCwGFQcaagJXRzufYhsRLlcic0s3Jm+T4Pt7R8Juhgz&#10;iX0kPFMPUz3R7aiihuZIOhDmPaG9pqAD/MnZSDtScf9jL1Bx1n+y5EVcqCXAJaiXQFhJTyseOJvD&#10;mzAv3t6haTtCnt22cE1+aZOkPLM48aS5J4WnHY2L9ft3uvX8J+1+AQAA//8DAFBLAwQUAAYACAAA&#10;ACEABRqzUuEAAAANAQAADwAAAGRycy9kb3ducmV2LnhtbEyPQU/DMAyF70j8h8hI3FjCxjpWmk4T&#10;ghMSoisHjmnjtdUapzTZVv493glufvbT8/eyzeR6ccIxdJ403M8UCKTa244aDZ/l690jiBANWdN7&#10;Qg0/GGCTX19lJrX+TAWedrERHEIhNRraGIdUylC36EyY+QGJb3s/OhNZjo20ozlzuOvlXKlEOtMR&#10;f2jNgM8t1ofd0WnYflHx0n2/Vx/FvujKcq3oLTlofXszbZ9ARJzinxku+IwOOTNV/kg2iJ61Uku2&#10;8rBU6xUItiSr+QJEdVk9LBTIPJP/W+S/AAAA//8DAFBLAQItABQABgAIAAAAIQC2gziS/gAAAOEB&#10;AAATAAAAAAAAAAAAAAAAAAAAAABbQ29udGVudF9UeXBlc10ueG1sUEsBAi0AFAAGAAgAAAAhADj9&#10;If/WAAAAlAEAAAsAAAAAAAAAAAAAAAAALwEAAF9yZWxzLy5yZWxzUEsBAi0AFAAGAAgAAAAhAJo2&#10;EO/WAQAAkQMAAA4AAAAAAAAAAAAAAAAALgIAAGRycy9lMm9Eb2MueG1sUEsBAi0AFAAGAAgAAAAh&#10;AAUas1LhAAAADQEAAA8AAAAAAAAAAAAAAAAAMAQAAGRycy9kb3ducmV2LnhtbFBLBQYAAAAABAAE&#10;APMAAAA+BQAAAAA=&#10;" filled="f" stroked="f">
              <v:textbox inset="0,0,0,0">
                <w:txbxContent>
                  <w:p w14:paraId="7FEF4501" w14:textId="3F4B5AB5" w:rsidR="00497761" w:rsidRDefault="000542C6">
                    <w:pPr>
                      <w:pStyle w:val="BodyText"/>
                      <w:spacing w:before="20"/>
                      <w:ind w:left="20"/>
                      <w:jc w:val="left"/>
                    </w:pPr>
                    <w:r>
                      <w:rPr>
                        <w:color w:val="000000"/>
                      </w:rPr>
                      <w:t xml:space="preserve">CONDITIONS </w:t>
                    </w:r>
                    <w:r w:rsidR="008036A2">
                      <w:rPr>
                        <w:color w:val="000000"/>
                      </w:rPr>
                      <w:t xml:space="preserve">GÉNÉRALES </w:t>
                    </w:r>
                    <w:r>
                      <w:rPr>
                        <w:color w:val="000000"/>
                      </w:rPr>
                      <w:t xml:space="preserve">DE VENTE DES PRODUITS </w:t>
                    </w:r>
                    <w:r w:rsidR="008036A2">
                      <w:rPr>
                        <w:color w:val="000000"/>
                      </w:rPr>
                      <w:t>DE</w:t>
                    </w:r>
                    <w:r>
                      <w:rPr>
                        <w:color w:val="000000"/>
                      </w:rPr>
                      <w:t xml:space="preserve"> BOIS </w:t>
                    </w:r>
                    <w:r w:rsidR="008036A2">
                      <w:rPr>
                        <w:color w:val="000000"/>
                      </w:rPr>
                      <w:t xml:space="preserve">D’ŒUVRE </w:t>
                    </w:r>
                    <w:r>
                      <w:rPr>
                        <w:color w:val="000000"/>
                      </w:rPr>
                      <w:t xml:space="preserve">(AMÉRIQUE DU NORD ET EXPORTATION) </w:t>
                    </w:r>
                    <w:r w:rsidR="00DD474A">
                      <w:rPr>
                        <w:color w:val="000000"/>
                      </w:rPr>
                      <w:t>(</w:t>
                    </w:r>
                    <w:r w:rsidR="008036A2">
                      <w:rPr>
                        <w:color w:val="000000"/>
                      </w:rPr>
                      <w:t>V</w:t>
                    </w:r>
                    <w:r>
                      <w:rPr>
                        <w:color w:val="000000"/>
                      </w:rPr>
                      <w:t xml:space="preserve">. </w:t>
                    </w:r>
                    <w:r w:rsidR="00BC7F36">
                      <w:rPr>
                        <w:color w:val="000000"/>
                      </w:rPr>
                      <w:t>2022-11-02</w:t>
                    </w:r>
                    <w:r w:rsidR="00DD474A">
                      <w:rPr>
                        <w:color w:val="000000"/>
                      </w:rPr>
                      <w:t>)</w:t>
                    </w:r>
                  </w:p>
                </w:txbxContent>
              </v:textbox>
              <w10:wrap anchorx="page" anchory="page"/>
            </v:shape>
          </w:pict>
        </mc:Fallback>
      </mc:AlternateContent>
    </w:r>
    <w:r>
      <w:rPr>
        <w:noProof/>
        <w:color w:val="000000"/>
        <w:lang w:eastAsia="fr-CA"/>
      </w:rPr>
      <mc:AlternateContent>
        <mc:Choice Requires="wps">
          <w:drawing>
            <wp:anchor distT="0" distB="0" distL="114300" distR="114300" simplePos="0" relativeHeight="251660288" behindDoc="1" locked="0" layoutInCell="1" allowOverlap="1" wp14:anchorId="7DAD6456" wp14:editId="0AA0B3B6">
              <wp:simplePos x="0" y="0"/>
              <wp:positionH relativeFrom="page">
                <wp:posOffset>6720205</wp:posOffset>
              </wp:positionH>
              <wp:positionV relativeFrom="page">
                <wp:posOffset>9679305</wp:posOffset>
              </wp:positionV>
              <wp:extent cx="612000" cy="118110"/>
              <wp:effectExtent l="0" t="0" r="1714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1DAA" w14:textId="3853BDC4" w:rsidR="00497761" w:rsidRDefault="000542C6">
                          <w:pPr>
                            <w:pStyle w:val="BodyText"/>
                            <w:spacing w:before="20"/>
                            <w:ind w:left="20"/>
                            <w:jc w:val="left"/>
                          </w:pPr>
                          <w:r>
                            <w:rPr>
                              <w:color w:val="000000"/>
                            </w:rPr>
                            <w:t xml:space="preserve">Page </w:t>
                          </w:r>
                          <w:r>
                            <w:rPr>
                              <w:color w:val="000000"/>
                            </w:rPr>
                            <w:fldChar w:fldCharType="begin"/>
                          </w:r>
                          <w:r>
                            <w:rPr>
                              <w:color w:val="000000"/>
                            </w:rPr>
                            <w:instrText xml:space="preserve"> PAGE </w:instrText>
                          </w:r>
                          <w:r>
                            <w:rPr>
                              <w:color w:val="000000"/>
                            </w:rPr>
                            <w:fldChar w:fldCharType="separate"/>
                          </w:r>
                          <w:r w:rsidR="002E08ED">
                            <w:rPr>
                              <w:noProof/>
                              <w:color w:val="000000"/>
                            </w:rPr>
                            <w:t>4</w:t>
                          </w:r>
                          <w:r>
                            <w:rPr>
                              <w:color w:val="000000"/>
                            </w:rPr>
                            <w:fldChar w:fldCharType="end"/>
                          </w:r>
                          <w:r>
                            <w:rPr>
                              <w:color w:val="000000"/>
                            </w:rPr>
                            <w:t xml:space="preserve"> de </w:t>
                          </w:r>
                          <w:r w:rsidR="00CE5774">
                            <w:rPr>
                              <w:color w:val="00000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D6456" id="Text Box 1" o:spid="_x0000_s1028" type="#_x0000_t202" style="position:absolute;margin-left:529.15pt;margin-top:762.15pt;width:48.2pt;height:9.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3W1AEAAJcDAAAOAAAAZHJzL2Uyb0RvYy54bWysU8lu2zAQvRfoPxC817JyCALBcpAmSFEg&#10;XYC0HzCiSImoxGGHtCX36zukLKfLreiFGA3Jx7eMdrfzOIijpmDR1bLcbKXQTmFrXVfLr18e39xI&#10;ESK4FgZ0upYnHeTt/vWr3eQrfYU9Dq0mwSAuVJOvZR+jr4oiqF6PEDboteNNgzRC5E/qipZgYvRx&#10;KK622+tiQmo9odIhcPdh2ZT7jG+MVvGTMUFHMdSSucW8Ul6btBb7HVQdge+tOtOAf2AxgnX86AXq&#10;ASKIA9m/oEarCAOauFE4FmiMVTprYDXl9g81zz14nbWwOcFfbAr/D1Z9PD77zyTi/BZnDjCLCP4J&#10;1bcgHN734Dp9R4RTr6Hlh8tkWTH5UJ2vJqtDFRJIM33AlkOGQ8QMNBsakyusUzA6B3C6mK7nKBQ3&#10;r0vOkXcUb5XlTVnmUAqo1sueQnyncRSpqCVxphkcjk8hJjJQrUfSWw4f7TDkXAf3W4MPpk4mn/gu&#10;zOPczMK2Z2VJS4PtidUQLtPC081Fj/RDioknpZbh+wFISzG8d+xIGqu1oLVo1gKc4qu1jFIs5X1c&#10;xu/gyXY9Iy+eO7xj14zNil5YnOly+lnoeVLTeP36nU+9/E/7nwAAAP//AwBQSwMEFAAGAAgAAAAh&#10;AEVJy6fiAAAADwEAAA8AAABkcnMvZG93bnJldi54bWxMj8FOwzAQRO9I/IO1SNyo3ZCUNsSpKgQn&#10;JNQ0HDg6sZtEjdchdtvw92xOcJvZHc2+zbaT7dnFjL5zKGG5EMAM1k532Ej4LN8e1sB8UKhV79BI&#10;+DEetvntTaZS7a5YmMshNIxK0KdKQhvCkHLu69ZY5RduMEi7oxutCmTHhutRXanc9jwSYsWt6pAu&#10;tGowL62pT4ezlbD7wuK1+/6o9sWx6MpyI/B9dZLy/m7aPQMLZgp/YZjxCR1yYqrcGbVnPXmRrB8p&#10;SyqJYlJzZpnET8CqeRZHG+B5xv//kf8CAAD//wMAUEsBAi0AFAAGAAgAAAAhALaDOJL+AAAA4QEA&#10;ABMAAAAAAAAAAAAAAAAAAAAAAFtDb250ZW50X1R5cGVzXS54bWxQSwECLQAUAAYACAAAACEAOP0h&#10;/9YAAACUAQAACwAAAAAAAAAAAAAAAAAvAQAAX3JlbHMvLnJlbHNQSwECLQAUAAYACAAAACEAXokN&#10;1tQBAACXAwAADgAAAAAAAAAAAAAAAAAuAgAAZHJzL2Uyb0RvYy54bWxQSwECLQAUAAYACAAAACEA&#10;RUnLp+IAAAAPAQAADwAAAAAAAAAAAAAAAAAuBAAAZHJzL2Rvd25yZXYueG1sUEsFBgAAAAAEAAQA&#10;8wAAAD0FAAAAAA==&#10;" filled="f" stroked="f">
              <v:textbox inset="0,0,0,0">
                <w:txbxContent>
                  <w:p w14:paraId="746D1DAA" w14:textId="3853BDC4" w:rsidR="00497761" w:rsidRDefault="000542C6">
                    <w:pPr>
                      <w:pStyle w:val="BodyText"/>
                      <w:spacing w:before="20"/>
                      <w:ind w:left="20"/>
                      <w:jc w:val="left"/>
                    </w:pPr>
                    <w:r>
                      <w:rPr>
                        <w:color w:val="000000"/>
                      </w:rPr>
                      <w:t xml:space="preserve">Page </w:t>
                    </w:r>
                    <w:r>
                      <w:rPr>
                        <w:color w:val="000000"/>
                      </w:rPr>
                      <w:fldChar w:fldCharType="begin"/>
                    </w:r>
                    <w:r>
                      <w:rPr>
                        <w:color w:val="000000"/>
                      </w:rPr>
                      <w:instrText xml:space="preserve"> PAGE </w:instrText>
                    </w:r>
                    <w:r>
                      <w:rPr>
                        <w:color w:val="000000"/>
                      </w:rPr>
                      <w:fldChar w:fldCharType="separate"/>
                    </w:r>
                    <w:r w:rsidR="002E08ED">
                      <w:rPr>
                        <w:noProof/>
                        <w:color w:val="000000"/>
                      </w:rPr>
                      <w:t>4</w:t>
                    </w:r>
                    <w:r>
                      <w:rPr>
                        <w:color w:val="000000"/>
                      </w:rPr>
                      <w:fldChar w:fldCharType="end"/>
                    </w:r>
                    <w:r>
                      <w:rPr>
                        <w:color w:val="000000"/>
                      </w:rPr>
                      <w:t xml:space="preserve"> de </w:t>
                    </w:r>
                    <w:r w:rsidR="00CE5774">
                      <w:rPr>
                        <w:color w:val="000000"/>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05501" w14:textId="77777777" w:rsidR="00CC3677" w:rsidRDefault="00CC3677" w:rsidP="00A83CE0">
      <w:r>
        <w:separator/>
      </w:r>
    </w:p>
  </w:footnote>
  <w:footnote w:type="continuationSeparator" w:id="0">
    <w:p w14:paraId="0598A967" w14:textId="77777777" w:rsidR="00CC3677" w:rsidRDefault="00CC3677" w:rsidP="00A83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E595D"/>
    <w:multiLevelType w:val="hybridMultilevel"/>
    <w:tmpl w:val="CF76621E"/>
    <w:lvl w:ilvl="0" w:tplc="59D47B0E">
      <w:start w:val="1"/>
      <w:numFmt w:val="decimal"/>
      <w:lvlText w:val="%1."/>
      <w:lvlJc w:val="left"/>
      <w:rPr>
        <w:rFonts w:ascii="Verdana" w:eastAsia="Verdana" w:hAnsi="Verdana" w:cs="Verdana" w:hint="default"/>
        <w:b/>
        <w:bCs/>
        <w:i w:val="0"/>
        <w:iCs w:val="0"/>
        <w:spacing w:val="0"/>
        <w:w w:val="100"/>
        <w:sz w:val="12"/>
        <w:szCs w:val="12"/>
      </w:rPr>
    </w:lvl>
    <w:lvl w:ilvl="1" w:tplc="334678EA">
      <w:numFmt w:val="bullet"/>
      <w:lvlText w:val="•"/>
      <w:lvlJc w:val="left"/>
      <w:pPr>
        <w:ind w:left="1646" w:hanging="540"/>
      </w:pPr>
      <w:rPr>
        <w:rFonts w:hint="default"/>
      </w:rPr>
    </w:lvl>
    <w:lvl w:ilvl="2" w:tplc="3AE25DE0">
      <w:numFmt w:val="bullet"/>
      <w:lvlText w:val="•"/>
      <w:lvlJc w:val="left"/>
      <w:pPr>
        <w:ind w:left="2632" w:hanging="540"/>
      </w:pPr>
      <w:rPr>
        <w:rFonts w:hint="default"/>
      </w:rPr>
    </w:lvl>
    <w:lvl w:ilvl="3" w:tplc="DAC43A4C">
      <w:numFmt w:val="bullet"/>
      <w:lvlText w:val="•"/>
      <w:lvlJc w:val="left"/>
      <w:pPr>
        <w:ind w:left="3618" w:hanging="540"/>
      </w:pPr>
      <w:rPr>
        <w:rFonts w:hint="default"/>
      </w:rPr>
    </w:lvl>
    <w:lvl w:ilvl="4" w:tplc="04D243A6">
      <w:numFmt w:val="bullet"/>
      <w:lvlText w:val="•"/>
      <w:lvlJc w:val="left"/>
      <w:pPr>
        <w:ind w:left="4604" w:hanging="540"/>
      </w:pPr>
      <w:rPr>
        <w:rFonts w:hint="default"/>
      </w:rPr>
    </w:lvl>
    <w:lvl w:ilvl="5" w:tplc="8D0465BC">
      <w:numFmt w:val="bullet"/>
      <w:lvlText w:val="•"/>
      <w:lvlJc w:val="left"/>
      <w:pPr>
        <w:ind w:left="5590" w:hanging="540"/>
      </w:pPr>
      <w:rPr>
        <w:rFonts w:hint="default"/>
      </w:rPr>
    </w:lvl>
    <w:lvl w:ilvl="6" w:tplc="71B812EE">
      <w:numFmt w:val="bullet"/>
      <w:lvlText w:val="•"/>
      <w:lvlJc w:val="left"/>
      <w:pPr>
        <w:ind w:left="6576" w:hanging="540"/>
      </w:pPr>
      <w:rPr>
        <w:rFonts w:hint="default"/>
      </w:rPr>
    </w:lvl>
    <w:lvl w:ilvl="7" w:tplc="77F2107C">
      <w:numFmt w:val="bullet"/>
      <w:lvlText w:val="•"/>
      <w:lvlJc w:val="left"/>
      <w:pPr>
        <w:ind w:left="7562" w:hanging="540"/>
      </w:pPr>
      <w:rPr>
        <w:rFonts w:hint="default"/>
      </w:rPr>
    </w:lvl>
    <w:lvl w:ilvl="8" w:tplc="C55AB3D0">
      <w:numFmt w:val="bullet"/>
      <w:lvlText w:val="•"/>
      <w:lvlJc w:val="left"/>
      <w:pPr>
        <w:ind w:left="8548" w:hanging="540"/>
      </w:pPr>
      <w:rPr>
        <w:rFonts w:hint="default"/>
      </w:rPr>
    </w:lvl>
  </w:abstractNum>
  <w:abstractNum w:abstractNumId="1" w15:restartNumberingAfterBreak="0">
    <w:nsid w:val="27BE4BEB"/>
    <w:multiLevelType w:val="hybridMultilevel"/>
    <w:tmpl w:val="1C5A0656"/>
    <w:lvl w:ilvl="0" w:tplc="FFFFFFFF">
      <w:start w:val="1"/>
      <w:numFmt w:val="decimal"/>
      <w:lvlText w:val="%1."/>
      <w:lvlJc w:val="left"/>
      <w:pPr>
        <w:ind w:left="652" w:hanging="540"/>
      </w:pPr>
      <w:rPr>
        <w:rFonts w:ascii="Verdana" w:eastAsia="Verdana" w:hAnsi="Verdana" w:cs="Verdana" w:hint="default"/>
        <w:b/>
        <w:bCs/>
        <w:i w:val="0"/>
        <w:iCs w:val="0"/>
        <w:spacing w:val="0"/>
        <w:w w:val="100"/>
        <w:sz w:val="12"/>
        <w:szCs w:val="12"/>
      </w:rPr>
    </w:lvl>
    <w:lvl w:ilvl="1" w:tplc="FFFFFFFF">
      <w:numFmt w:val="bullet"/>
      <w:lvlText w:val="•"/>
      <w:lvlJc w:val="left"/>
      <w:pPr>
        <w:ind w:left="1646" w:hanging="540"/>
      </w:pPr>
      <w:rPr>
        <w:rFonts w:hint="default"/>
      </w:rPr>
    </w:lvl>
    <w:lvl w:ilvl="2" w:tplc="FFFFFFFF">
      <w:numFmt w:val="bullet"/>
      <w:lvlText w:val="•"/>
      <w:lvlJc w:val="left"/>
      <w:pPr>
        <w:ind w:left="2632" w:hanging="540"/>
      </w:pPr>
      <w:rPr>
        <w:rFonts w:hint="default"/>
      </w:rPr>
    </w:lvl>
    <w:lvl w:ilvl="3" w:tplc="FFFFFFFF">
      <w:numFmt w:val="bullet"/>
      <w:lvlText w:val="•"/>
      <w:lvlJc w:val="left"/>
      <w:pPr>
        <w:ind w:left="3618" w:hanging="540"/>
      </w:pPr>
      <w:rPr>
        <w:rFonts w:hint="default"/>
      </w:rPr>
    </w:lvl>
    <w:lvl w:ilvl="4" w:tplc="FFFFFFFF">
      <w:numFmt w:val="bullet"/>
      <w:lvlText w:val="•"/>
      <w:lvlJc w:val="left"/>
      <w:pPr>
        <w:ind w:left="4604" w:hanging="540"/>
      </w:pPr>
      <w:rPr>
        <w:rFonts w:hint="default"/>
      </w:rPr>
    </w:lvl>
    <w:lvl w:ilvl="5" w:tplc="FFFFFFFF">
      <w:numFmt w:val="bullet"/>
      <w:lvlText w:val="•"/>
      <w:lvlJc w:val="left"/>
      <w:pPr>
        <w:ind w:left="5590" w:hanging="540"/>
      </w:pPr>
      <w:rPr>
        <w:rFonts w:hint="default"/>
      </w:rPr>
    </w:lvl>
    <w:lvl w:ilvl="6" w:tplc="FFFFFFFF">
      <w:numFmt w:val="bullet"/>
      <w:lvlText w:val="•"/>
      <w:lvlJc w:val="left"/>
      <w:pPr>
        <w:ind w:left="6576" w:hanging="540"/>
      </w:pPr>
      <w:rPr>
        <w:rFonts w:hint="default"/>
      </w:rPr>
    </w:lvl>
    <w:lvl w:ilvl="7" w:tplc="FFFFFFFF">
      <w:numFmt w:val="bullet"/>
      <w:lvlText w:val="•"/>
      <w:lvlJc w:val="left"/>
      <w:pPr>
        <w:ind w:left="7562" w:hanging="540"/>
      </w:pPr>
      <w:rPr>
        <w:rFonts w:hint="default"/>
      </w:rPr>
    </w:lvl>
    <w:lvl w:ilvl="8" w:tplc="FFFFFFFF">
      <w:numFmt w:val="bullet"/>
      <w:lvlText w:val="•"/>
      <w:lvlJc w:val="left"/>
      <w:pPr>
        <w:ind w:left="8548" w:hanging="540"/>
      </w:pPr>
      <w:rPr>
        <w:rFonts w:hint="default"/>
      </w:rPr>
    </w:lvl>
  </w:abstractNum>
  <w:abstractNum w:abstractNumId="2" w15:restartNumberingAfterBreak="0">
    <w:nsid w:val="4D5D3121"/>
    <w:multiLevelType w:val="hybridMultilevel"/>
    <w:tmpl w:val="E93C5F40"/>
    <w:lvl w:ilvl="0" w:tplc="8D36EAA4">
      <w:start w:val="3"/>
      <w:numFmt w:val="lowerLetter"/>
      <w:lvlText w:val="(%1)"/>
      <w:lvlJc w:val="left"/>
      <w:pPr>
        <w:ind w:left="2200" w:hanging="216"/>
      </w:pPr>
      <w:rPr>
        <w:rFonts w:ascii="Verdana" w:eastAsia="Verdana" w:hAnsi="Verdana" w:cs="Verdana" w:hint="default"/>
        <w:b w:val="0"/>
        <w:bCs w:val="0"/>
        <w:i w:val="0"/>
        <w:iCs w:val="0"/>
        <w:spacing w:val="-1"/>
        <w:w w:val="100"/>
        <w:sz w:val="12"/>
        <w:szCs w:val="12"/>
      </w:rPr>
    </w:lvl>
    <w:lvl w:ilvl="1" w:tplc="34202B66">
      <w:numFmt w:val="bullet"/>
      <w:lvlText w:val="•"/>
      <w:lvlJc w:val="left"/>
      <w:pPr>
        <w:ind w:left="2704" w:hanging="216"/>
      </w:pPr>
      <w:rPr>
        <w:rFonts w:hint="default"/>
      </w:rPr>
    </w:lvl>
    <w:lvl w:ilvl="2" w:tplc="41C822D8">
      <w:numFmt w:val="bullet"/>
      <w:lvlText w:val="•"/>
      <w:lvlJc w:val="left"/>
      <w:pPr>
        <w:ind w:left="3201" w:hanging="216"/>
      </w:pPr>
      <w:rPr>
        <w:rFonts w:hint="default"/>
      </w:rPr>
    </w:lvl>
    <w:lvl w:ilvl="3" w:tplc="142C3FE6">
      <w:numFmt w:val="bullet"/>
      <w:lvlText w:val="•"/>
      <w:lvlJc w:val="left"/>
      <w:pPr>
        <w:ind w:left="3698" w:hanging="216"/>
      </w:pPr>
      <w:rPr>
        <w:rFonts w:hint="default"/>
      </w:rPr>
    </w:lvl>
    <w:lvl w:ilvl="4" w:tplc="B6623F5C">
      <w:numFmt w:val="bullet"/>
      <w:lvlText w:val="•"/>
      <w:lvlJc w:val="left"/>
      <w:pPr>
        <w:ind w:left="4194" w:hanging="216"/>
      </w:pPr>
      <w:rPr>
        <w:rFonts w:hint="default"/>
      </w:rPr>
    </w:lvl>
    <w:lvl w:ilvl="5" w:tplc="FAA404C8">
      <w:numFmt w:val="bullet"/>
      <w:lvlText w:val="•"/>
      <w:lvlJc w:val="left"/>
      <w:pPr>
        <w:ind w:left="4691" w:hanging="216"/>
      </w:pPr>
      <w:rPr>
        <w:rFonts w:hint="default"/>
      </w:rPr>
    </w:lvl>
    <w:lvl w:ilvl="6" w:tplc="DA72E0E2">
      <w:numFmt w:val="bullet"/>
      <w:lvlText w:val="•"/>
      <w:lvlJc w:val="left"/>
      <w:pPr>
        <w:ind w:left="5188" w:hanging="216"/>
      </w:pPr>
      <w:rPr>
        <w:rFonts w:hint="default"/>
      </w:rPr>
    </w:lvl>
    <w:lvl w:ilvl="7" w:tplc="F9224248">
      <w:numFmt w:val="bullet"/>
      <w:lvlText w:val="•"/>
      <w:lvlJc w:val="left"/>
      <w:pPr>
        <w:ind w:left="5684" w:hanging="216"/>
      </w:pPr>
      <w:rPr>
        <w:rFonts w:hint="default"/>
      </w:rPr>
    </w:lvl>
    <w:lvl w:ilvl="8" w:tplc="1CC2C384">
      <w:numFmt w:val="bullet"/>
      <w:lvlText w:val="•"/>
      <w:lvlJc w:val="left"/>
      <w:pPr>
        <w:ind w:left="6181" w:hanging="216"/>
      </w:pPr>
      <w:rPr>
        <w:rFonts w:hint="default"/>
      </w:rPr>
    </w:lvl>
  </w:abstractNum>
  <w:abstractNum w:abstractNumId="3" w15:restartNumberingAfterBreak="0">
    <w:nsid w:val="584A5B4D"/>
    <w:multiLevelType w:val="hybridMultilevel"/>
    <w:tmpl w:val="1C5A0656"/>
    <w:lvl w:ilvl="0" w:tplc="FFFFFFFF">
      <w:start w:val="1"/>
      <w:numFmt w:val="decimal"/>
      <w:lvlText w:val="%1."/>
      <w:lvlJc w:val="left"/>
      <w:pPr>
        <w:ind w:left="652" w:hanging="540"/>
      </w:pPr>
      <w:rPr>
        <w:rFonts w:ascii="Verdana" w:eastAsia="Verdana" w:hAnsi="Verdana" w:cs="Verdana" w:hint="default"/>
        <w:b/>
        <w:bCs/>
        <w:i w:val="0"/>
        <w:iCs w:val="0"/>
        <w:spacing w:val="0"/>
        <w:w w:val="100"/>
        <w:sz w:val="12"/>
        <w:szCs w:val="12"/>
      </w:rPr>
    </w:lvl>
    <w:lvl w:ilvl="1" w:tplc="FFFFFFFF">
      <w:numFmt w:val="bullet"/>
      <w:lvlText w:val="•"/>
      <w:lvlJc w:val="left"/>
      <w:pPr>
        <w:ind w:left="1646" w:hanging="540"/>
      </w:pPr>
      <w:rPr>
        <w:rFonts w:hint="default"/>
      </w:rPr>
    </w:lvl>
    <w:lvl w:ilvl="2" w:tplc="FFFFFFFF">
      <w:numFmt w:val="bullet"/>
      <w:lvlText w:val="•"/>
      <w:lvlJc w:val="left"/>
      <w:pPr>
        <w:ind w:left="2632" w:hanging="540"/>
      </w:pPr>
      <w:rPr>
        <w:rFonts w:hint="default"/>
      </w:rPr>
    </w:lvl>
    <w:lvl w:ilvl="3" w:tplc="FFFFFFFF">
      <w:numFmt w:val="bullet"/>
      <w:lvlText w:val="•"/>
      <w:lvlJc w:val="left"/>
      <w:pPr>
        <w:ind w:left="3618" w:hanging="540"/>
      </w:pPr>
      <w:rPr>
        <w:rFonts w:hint="default"/>
      </w:rPr>
    </w:lvl>
    <w:lvl w:ilvl="4" w:tplc="FFFFFFFF">
      <w:numFmt w:val="bullet"/>
      <w:lvlText w:val="•"/>
      <w:lvlJc w:val="left"/>
      <w:pPr>
        <w:ind w:left="4604" w:hanging="540"/>
      </w:pPr>
      <w:rPr>
        <w:rFonts w:hint="default"/>
      </w:rPr>
    </w:lvl>
    <w:lvl w:ilvl="5" w:tplc="FFFFFFFF">
      <w:numFmt w:val="bullet"/>
      <w:lvlText w:val="•"/>
      <w:lvlJc w:val="left"/>
      <w:pPr>
        <w:ind w:left="5590" w:hanging="540"/>
      </w:pPr>
      <w:rPr>
        <w:rFonts w:hint="default"/>
      </w:rPr>
    </w:lvl>
    <w:lvl w:ilvl="6" w:tplc="FFFFFFFF">
      <w:numFmt w:val="bullet"/>
      <w:lvlText w:val="•"/>
      <w:lvlJc w:val="left"/>
      <w:pPr>
        <w:ind w:left="6576" w:hanging="540"/>
      </w:pPr>
      <w:rPr>
        <w:rFonts w:hint="default"/>
      </w:rPr>
    </w:lvl>
    <w:lvl w:ilvl="7" w:tplc="FFFFFFFF">
      <w:numFmt w:val="bullet"/>
      <w:lvlText w:val="•"/>
      <w:lvlJc w:val="left"/>
      <w:pPr>
        <w:ind w:left="7562" w:hanging="540"/>
      </w:pPr>
      <w:rPr>
        <w:rFonts w:hint="default"/>
      </w:rPr>
    </w:lvl>
    <w:lvl w:ilvl="8" w:tplc="FFFFFFFF">
      <w:numFmt w:val="bullet"/>
      <w:lvlText w:val="•"/>
      <w:lvlJc w:val="left"/>
      <w:pPr>
        <w:ind w:left="8548" w:hanging="540"/>
      </w:pPr>
      <w:rPr>
        <w:rFonts w:hint="default"/>
      </w:rPr>
    </w:lvl>
  </w:abstractNum>
  <w:abstractNum w:abstractNumId="4" w15:restartNumberingAfterBreak="0">
    <w:nsid w:val="734E4D04"/>
    <w:multiLevelType w:val="hybridMultilevel"/>
    <w:tmpl w:val="91C00274"/>
    <w:lvl w:ilvl="0" w:tplc="59D47B0E">
      <w:start w:val="1"/>
      <w:numFmt w:val="decimal"/>
      <w:lvlText w:val="%1."/>
      <w:lvlJc w:val="left"/>
      <w:pPr>
        <w:ind w:left="832" w:hanging="360"/>
      </w:pPr>
      <w:rPr>
        <w:rFonts w:ascii="Verdana" w:eastAsia="Verdana" w:hAnsi="Verdana" w:cs="Verdana" w:hint="default"/>
        <w:b/>
        <w:bCs/>
        <w:i w:val="0"/>
        <w:iCs w:val="0"/>
        <w:spacing w:val="0"/>
        <w:w w:val="100"/>
        <w:sz w:val="12"/>
        <w:szCs w:val="12"/>
      </w:rPr>
    </w:lvl>
    <w:lvl w:ilvl="1" w:tplc="0C0C0019" w:tentative="1">
      <w:start w:val="1"/>
      <w:numFmt w:val="lowerLetter"/>
      <w:lvlText w:val="%2."/>
      <w:lvlJc w:val="left"/>
      <w:pPr>
        <w:ind w:left="1552" w:hanging="360"/>
      </w:pPr>
    </w:lvl>
    <w:lvl w:ilvl="2" w:tplc="0C0C001B" w:tentative="1">
      <w:start w:val="1"/>
      <w:numFmt w:val="lowerRoman"/>
      <w:lvlText w:val="%3."/>
      <w:lvlJc w:val="right"/>
      <w:pPr>
        <w:ind w:left="2272" w:hanging="180"/>
      </w:pPr>
    </w:lvl>
    <w:lvl w:ilvl="3" w:tplc="0C0C000F" w:tentative="1">
      <w:start w:val="1"/>
      <w:numFmt w:val="decimal"/>
      <w:lvlText w:val="%4."/>
      <w:lvlJc w:val="left"/>
      <w:pPr>
        <w:ind w:left="2992" w:hanging="360"/>
      </w:pPr>
    </w:lvl>
    <w:lvl w:ilvl="4" w:tplc="0C0C0019" w:tentative="1">
      <w:start w:val="1"/>
      <w:numFmt w:val="lowerLetter"/>
      <w:lvlText w:val="%5."/>
      <w:lvlJc w:val="left"/>
      <w:pPr>
        <w:ind w:left="3712" w:hanging="360"/>
      </w:pPr>
    </w:lvl>
    <w:lvl w:ilvl="5" w:tplc="0C0C001B" w:tentative="1">
      <w:start w:val="1"/>
      <w:numFmt w:val="lowerRoman"/>
      <w:lvlText w:val="%6."/>
      <w:lvlJc w:val="right"/>
      <w:pPr>
        <w:ind w:left="4432" w:hanging="180"/>
      </w:pPr>
    </w:lvl>
    <w:lvl w:ilvl="6" w:tplc="0C0C000F" w:tentative="1">
      <w:start w:val="1"/>
      <w:numFmt w:val="decimal"/>
      <w:lvlText w:val="%7."/>
      <w:lvlJc w:val="left"/>
      <w:pPr>
        <w:ind w:left="5152" w:hanging="360"/>
      </w:pPr>
    </w:lvl>
    <w:lvl w:ilvl="7" w:tplc="0C0C0019" w:tentative="1">
      <w:start w:val="1"/>
      <w:numFmt w:val="lowerLetter"/>
      <w:lvlText w:val="%8."/>
      <w:lvlJc w:val="left"/>
      <w:pPr>
        <w:ind w:left="5872" w:hanging="360"/>
      </w:pPr>
    </w:lvl>
    <w:lvl w:ilvl="8" w:tplc="0C0C001B" w:tentative="1">
      <w:start w:val="1"/>
      <w:numFmt w:val="lowerRoman"/>
      <w:lvlText w:val="%9."/>
      <w:lvlJc w:val="right"/>
      <w:pPr>
        <w:ind w:left="6592" w:hanging="180"/>
      </w:pPr>
    </w:lvl>
  </w:abstractNum>
  <w:num w:numId="1" w16cid:durableId="395789283">
    <w:abstractNumId w:val="2"/>
  </w:num>
  <w:num w:numId="2" w16cid:durableId="1181358331">
    <w:abstractNumId w:val="0"/>
  </w:num>
  <w:num w:numId="3" w16cid:durableId="180245507">
    <w:abstractNumId w:val="3"/>
  </w:num>
  <w:num w:numId="4" w16cid:durableId="1103914009">
    <w:abstractNumId w:val="1"/>
  </w:num>
  <w:num w:numId="5" w16cid:durableId="12005059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1A8"/>
    <w:rsid w:val="00004279"/>
    <w:rsid w:val="00013BF6"/>
    <w:rsid w:val="0001431A"/>
    <w:rsid w:val="00015EBF"/>
    <w:rsid w:val="0001695E"/>
    <w:rsid w:val="00030BBA"/>
    <w:rsid w:val="00033E91"/>
    <w:rsid w:val="000360D0"/>
    <w:rsid w:val="000542C6"/>
    <w:rsid w:val="00056481"/>
    <w:rsid w:val="00060136"/>
    <w:rsid w:val="0006566D"/>
    <w:rsid w:val="000659E4"/>
    <w:rsid w:val="000703AA"/>
    <w:rsid w:val="00077A6E"/>
    <w:rsid w:val="0008245D"/>
    <w:rsid w:val="000857CA"/>
    <w:rsid w:val="0008609B"/>
    <w:rsid w:val="00086AD8"/>
    <w:rsid w:val="000906C4"/>
    <w:rsid w:val="00091D0B"/>
    <w:rsid w:val="000C1C56"/>
    <w:rsid w:val="000D1620"/>
    <w:rsid w:val="000D2274"/>
    <w:rsid w:val="000E6670"/>
    <w:rsid w:val="000F2BBC"/>
    <w:rsid w:val="001058E3"/>
    <w:rsid w:val="00121CCA"/>
    <w:rsid w:val="001262C7"/>
    <w:rsid w:val="00130D8C"/>
    <w:rsid w:val="00132370"/>
    <w:rsid w:val="00133E5A"/>
    <w:rsid w:val="00136AAA"/>
    <w:rsid w:val="00137C1B"/>
    <w:rsid w:val="001538D3"/>
    <w:rsid w:val="00153C32"/>
    <w:rsid w:val="00153C78"/>
    <w:rsid w:val="00155FF3"/>
    <w:rsid w:val="00161358"/>
    <w:rsid w:val="001614B7"/>
    <w:rsid w:val="00162129"/>
    <w:rsid w:val="001638F1"/>
    <w:rsid w:val="00163CB8"/>
    <w:rsid w:val="001668C3"/>
    <w:rsid w:val="00166FF9"/>
    <w:rsid w:val="0018628C"/>
    <w:rsid w:val="0019542A"/>
    <w:rsid w:val="001A16AB"/>
    <w:rsid w:val="001A3A3E"/>
    <w:rsid w:val="001B0D25"/>
    <w:rsid w:val="001B745C"/>
    <w:rsid w:val="001C1CD5"/>
    <w:rsid w:val="001C3FE3"/>
    <w:rsid w:val="001D3072"/>
    <w:rsid w:val="001D5F96"/>
    <w:rsid w:val="001F13D3"/>
    <w:rsid w:val="001F5BE3"/>
    <w:rsid w:val="001F6E56"/>
    <w:rsid w:val="00200DE2"/>
    <w:rsid w:val="0020319A"/>
    <w:rsid w:val="00205357"/>
    <w:rsid w:val="00206E3B"/>
    <w:rsid w:val="00207FF7"/>
    <w:rsid w:val="00210455"/>
    <w:rsid w:val="00223777"/>
    <w:rsid w:val="00226E88"/>
    <w:rsid w:val="0025578D"/>
    <w:rsid w:val="002575D8"/>
    <w:rsid w:val="002668F4"/>
    <w:rsid w:val="002674E5"/>
    <w:rsid w:val="00267987"/>
    <w:rsid w:val="00271DA0"/>
    <w:rsid w:val="00273592"/>
    <w:rsid w:val="002755B4"/>
    <w:rsid w:val="00275E0A"/>
    <w:rsid w:val="00286AE7"/>
    <w:rsid w:val="00292D2B"/>
    <w:rsid w:val="002A524A"/>
    <w:rsid w:val="002A6D9A"/>
    <w:rsid w:val="002A7651"/>
    <w:rsid w:val="002B1D94"/>
    <w:rsid w:val="002B34B1"/>
    <w:rsid w:val="002B6D29"/>
    <w:rsid w:val="002C0E8B"/>
    <w:rsid w:val="002C5CD7"/>
    <w:rsid w:val="002C6748"/>
    <w:rsid w:val="002D1B5E"/>
    <w:rsid w:val="002D26C1"/>
    <w:rsid w:val="002D3DE0"/>
    <w:rsid w:val="002D492C"/>
    <w:rsid w:val="002D6D7C"/>
    <w:rsid w:val="002E08ED"/>
    <w:rsid w:val="002E17B3"/>
    <w:rsid w:val="002E6446"/>
    <w:rsid w:val="002F3F22"/>
    <w:rsid w:val="002F5325"/>
    <w:rsid w:val="002F5453"/>
    <w:rsid w:val="002F59D1"/>
    <w:rsid w:val="002F5D8F"/>
    <w:rsid w:val="00313821"/>
    <w:rsid w:val="00315ABF"/>
    <w:rsid w:val="00321B21"/>
    <w:rsid w:val="00331821"/>
    <w:rsid w:val="0033366E"/>
    <w:rsid w:val="00340914"/>
    <w:rsid w:val="003471EC"/>
    <w:rsid w:val="00352BCE"/>
    <w:rsid w:val="003541B2"/>
    <w:rsid w:val="003639D8"/>
    <w:rsid w:val="003714E9"/>
    <w:rsid w:val="003761F9"/>
    <w:rsid w:val="003802AC"/>
    <w:rsid w:val="003803C6"/>
    <w:rsid w:val="00383A0C"/>
    <w:rsid w:val="0039296A"/>
    <w:rsid w:val="00396EF4"/>
    <w:rsid w:val="003A1BA5"/>
    <w:rsid w:val="003A39EA"/>
    <w:rsid w:val="003A6A9E"/>
    <w:rsid w:val="003B26EE"/>
    <w:rsid w:val="003B3077"/>
    <w:rsid w:val="003B7D07"/>
    <w:rsid w:val="003C1728"/>
    <w:rsid w:val="003C2481"/>
    <w:rsid w:val="003C3C83"/>
    <w:rsid w:val="003C7F8F"/>
    <w:rsid w:val="003D2FEB"/>
    <w:rsid w:val="003D5D49"/>
    <w:rsid w:val="003F3FC3"/>
    <w:rsid w:val="004030F8"/>
    <w:rsid w:val="00421954"/>
    <w:rsid w:val="00431E8C"/>
    <w:rsid w:val="00440A57"/>
    <w:rsid w:val="00442ADB"/>
    <w:rsid w:val="00445CAB"/>
    <w:rsid w:val="00450863"/>
    <w:rsid w:val="004519AD"/>
    <w:rsid w:val="004523B6"/>
    <w:rsid w:val="004558D8"/>
    <w:rsid w:val="0045757C"/>
    <w:rsid w:val="00457DF9"/>
    <w:rsid w:val="00466198"/>
    <w:rsid w:val="0047104E"/>
    <w:rsid w:val="004765AB"/>
    <w:rsid w:val="00476E6F"/>
    <w:rsid w:val="0047791A"/>
    <w:rsid w:val="00477FAE"/>
    <w:rsid w:val="004821B1"/>
    <w:rsid w:val="00482B53"/>
    <w:rsid w:val="00487176"/>
    <w:rsid w:val="00494885"/>
    <w:rsid w:val="004A7E2D"/>
    <w:rsid w:val="004B59DC"/>
    <w:rsid w:val="004B776E"/>
    <w:rsid w:val="004C21EF"/>
    <w:rsid w:val="004C4033"/>
    <w:rsid w:val="004E0CAA"/>
    <w:rsid w:val="004E2DDE"/>
    <w:rsid w:val="004E38C7"/>
    <w:rsid w:val="004F2544"/>
    <w:rsid w:val="004F44A4"/>
    <w:rsid w:val="004F7580"/>
    <w:rsid w:val="004F77F5"/>
    <w:rsid w:val="004F7B23"/>
    <w:rsid w:val="005063C8"/>
    <w:rsid w:val="005103AC"/>
    <w:rsid w:val="00511213"/>
    <w:rsid w:val="0051296A"/>
    <w:rsid w:val="005147A4"/>
    <w:rsid w:val="00520A80"/>
    <w:rsid w:val="00537C11"/>
    <w:rsid w:val="00546809"/>
    <w:rsid w:val="00547C56"/>
    <w:rsid w:val="00553B86"/>
    <w:rsid w:val="00554431"/>
    <w:rsid w:val="00563035"/>
    <w:rsid w:val="00565716"/>
    <w:rsid w:val="00565BF5"/>
    <w:rsid w:val="0056666A"/>
    <w:rsid w:val="00567F9A"/>
    <w:rsid w:val="00572937"/>
    <w:rsid w:val="00577A90"/>
    <w:rsid w:val="00577E11"/>
    <w:rsid w:val="005842FA"/>
    <w:rsid w:val="00586307"/>
    <w:rsid w:val="00590415"/>
    <w:rsid w:val="00592413"/>
    <w:rsid w:val="005938A6"/>
    <w:rsid w:val="005A01A8"/>
    <w:rsid w:val="005A1602"/>
    <w:rsid w:val="005A7E41"/>
    <w:rsid w:val="005B1CE7"/>
    <w:rsid w:val="005C3AAD"/>
    <w:rsid w:val="005C54DE"/>
    <w:rsid w:val="005C6F79"/>
    <w:rsid w:val="005D300A"/>
    <w:rsid w:val="005D40E8"/>
    <w:rsid w:val="005D59CE"/>
    <w:rsid w:val="005E0C0A"/>
    <w:rsid w:val="005E20B3"/>
    <w:rsid w:val="005E442C"/>
    <w:rsid w:val="005E4EC9"/>
    <w:rsid w:val="005E6368"/>
    <w:rsid w:val="005F026D"/>
    <w:rsid w:val="005F23D0"/>
    <w:rsid w:val="005F48DE"/>
    <w:rsid w:val="005F5E77"/>
    <w:rsid w:val="005F7424"/>
    <w:rsid w:val="00602286"/>
    <w:rsid w:val="00615960"/>
    <w:rsid w:val="00617C5F"/>
    <w:rsid w:val="00621166"/>
    <w:rsid w:val="006214C1"/>
    <w:rsid w:val="00624714"/>
    <w:rsid w:val="00630E31"/>
    <w:rsid w:val="00636B4A"/>
    <w:rsid w:val="00646878"/>
    <w:rsid w:val="006514C3"/>
    <w:rsid w:val="00655656"/>
    <w:rsid w:val="006565D8"/>
    <w:rsid w:val="00657564"/>
    <w:rsid w:val="00664AB5"/>
    <w:rsid w:val="00664C2F"/>
    <w:rsid w:val="00667F1B"/>
    <w:rsid w:val="006802A8"/>
    <w:rsid w:val="00680BAD"/>
    <w:rsid w:val="00681549"/>
    <w:rsid w:val="00682AC7"/>
    <w:rsid w:val="00685982"/>
    <w:rsid w:val="00686DB9"/>
    <w:rsid w:val="00687AE3"/>
    <w:rsid w:val="00690268"/>
    <w:rsid w:val="006A2321"/>
    <w:rsid w:val="006A2828"/>
    <w:rsid w:val="006A3961"/>
    <w:rsid w:val="006B0C6D"/>
    <w:rsid w:val="006B0E2C"/>
    <w:rsid w:val="006B4033"/>
    <w:rsid w:val="006B4757"/>
    <w:rsid w:val="006B698E"/>
    <w:rsid w:val="006B6E34"/>
    <w:rsid w:val="006B764E"/>
    <w:rsid w:val="006C0393"/>
    <w:rsid w:val="006C2B87"/>
    <w:rsid w:val="006C5CE6"/>
    <w:rsid w:val="006D1CE0"/>
    <w:rsid w:val="006D2BF7"/>
    <w:rsid w:val="006D32AC"/>
    <w:rsid w:val="006D42AB"/>
    <w:rsid w:val="006D4421"/>
    <w:rsid w:val="006F7824"/>
    <w:rsid w:val="00702172"/>
    <w:rsid w:val="00703A3D"/>
    <w:rsid w:val="007040E5"/>
    <w:rsid w:val="0070655C"/>
    <w:rsid w:val="007112C2"/>
    <w:rsid w:val="00711DB2"/>
    <w:rsid w:val="00714EFC"/>
    <w:rsid w:val="00720A3F"/>
    <w:rsid w:val="00721322"/>
    <w:rsid w:val="0072455D"/>
    <w:rsid w:val="0072796B"/>
    <w:rsid w:val="00731E36"/>
    <w:rsid w:val="007336E6"/>
    <w:rsid w:val="00741A7D"/>
    <w:rsid w:val="00743D6A"/>
    <w:rsid w:val="00746FD5"/>
    <w:rsid w:val="00752176"/>
    <w:rsid w:val="00761CB6"/>
    <w:rsid w:val="007649C6"/>
    <w:rsid w:val="007716A4"/>
    <w:rsid w:val="00774B14"/>
    <w:rsid w:val="00776A50"/>
    <w:rsid w:val="00787E65"/>
    <w:rsid w:val="00795F0A"/>
    <w:rsid w:val="0079793D"/>
    <w:rsid w:val="007A62C9"/>
    <w:rsid w:val="007B15F2"/>
    <w:rsid w:val="007B2B7C"/>
    <w:rsid w:val="007B3637"/>
    <w:rsid w:val="007C22ED"/>
    <w:rsid w:val="007D10E0"/>
    <w:rsid w:val="007D127E"/>
    <w:rsid w:val="007D58EF"/>
    <w:rsid w:val="007E3845"/>
    <w:rsid w:val="00801AFB"/>
    <w:rsid w:val="008033A1"/>
    <w:rsid w:val="008036A2"/>
    <w:rsid w:val="0080433D"/>
    <w:rsid w:val="008101F6"/>
    <w:rsid w:val="00811A82"/>
    <w:rsid w:val="00814849"/>
    <w:rsid w:val="008152A2"/>
    <w:rsid w:val="008152BF"/>
    <w:rsid w:val="008306B3"/>
    <w:rsid w:val="0083352D"/>
    <w:rsid w:val="00834F71"/>
    <w:rsid w:val="00837C8E"/>
    <w:rsid w:val="00850104"/>
    <w:rsid w:val="00854488"/>
    <w:rsid w:val="00863A95"/>
    <w:rsid w:val="00873170"/>
    <w:rsid w:val="00881E64"/>
    <w:rsid w:val="00886D95"/>
    <w:rsid w:val="0088775E"/>
    <w:rsid w:val="00897EDA"/>
    <w:rsid w:val="008A1286"/>
    <w:rsid w:val="008A286B"/>
    <w:rsid w:val="008A5257"/>
    <w:rsid w:val="008A7507"/>
    <w:rsid w:val="008B43B5"/>
    <w:rsid w:val="008C0A00"/>
    <w:rsid w:val="008C48A7"/>
    <w:rsid w:val="008C6284"/>
    <w:rsid w:val="008E022C"/>
    <w:rsid w:val="008E08F2"/>
    <w:rsid w:val="008F28FA"/>
    <w:rsid w:val="0091167F"/>
    <w:rsid w:val="00912538"/>
    <w:rsid w:val="009200CA"/>
    <w:rsid w:val="009203D1"/>
    <w:rsid w:val="00921BB2"/>
    <w:rsid w:val="009232CC"/>
    <w:rsid w:val="00925FC0"/>
    <w:rsid w:val="00926482"/>
    <w:rsid w:val="00934D1B"/>
    <w:rsid w:val="009402E2"/>
    <w:rsid w:val="0094325E"/>
    <w:rsid w:val="0095078D"/>
    <w:rsid w:val="00955480"/>
    <w:rsid w:val="00961B21"/>
    <w:rsid w:val="00965760"/>
    <w:rsid w:val="00966E02"/>
    <w:rsid w:val="00967D0B"/>
    <w:rsid w:val="009716FD"/>
    <w:rsid w:val="00972D03"/>
    <w:rsid w:val="00973793"/>
    <w:rsid w:val="00977CED"/>
    <w:rsid w:val="009809E5"/>
    <w:rsid w:val="009863A0"/>
    <w:rsid w:val="00986EF1"/>
    <w:rsid w:val="00987BA3"/>
    <w:rsid w:val="00997AB5"/>
    <w:rsid w:val="009A0F09"/>
    <w:rsid w:val="009A462F"/>
    <w:rsid w:val="009A5D3B"/>
    <w:rsid w:val="009A7340"/>
    <w:rsid w:val="009B0BE8"/>
    <w:rsid w:val="009B23E6"/>
    <w:rsid w:val="009B5A2B"/>
    <w:rsid w:val="009B7DB7"/>
    <w:rsid w:val="009C0645"/>
    <w:rsid w:val="009C3876"/>
    <w:rsid w:val="009C3CD8"/>
    <w:rsid w:val="009C42F5"/>
    <w:rsid w:val="009C613E"/>
    <w:rsid w:val="009D7F60"/>
    <w:rsid w:val="00A01CDE"/>
    <w:rsid w:val="00A15E8E"/>
    <w:rsid w:val="00A163CF"/>
    <w:rsid w:val="00A1669E"/>
    <w:rsid w:val="00A17855"/>
    <w:rsid w:val="00A229AD"/>
    <w:rsid w:val="00A260C7"/>
    <w:rsid w:val="00A26A00"/>
    <w:rsid w:val="00A31C72"/>
    <w:rsid w:val="00A36B59"/>
    <w:rsid w:val="00A413F8"/>
    <w:rsid w:val="00A4211F"/>
    <w:rsid w:val="00A4579D"/>
    <w:rsid w:val="00A45B5D"/>
    <w:rsid w:val="00A469AF"/>
    <w:rsid w:val="00A47219"/>
    <w:rsid w:val="00A4774F"/>
    <w:rsid w:val="00A5146F"/>
    <w:rsid w:val="00A717C9"/>
    <w:rsid w:val="00A71C38"/>
    <w:rsid w:val="00A73FF9"/>
    <w:rsid w:val="00A801B1"/>
    <w:rsid w:val="00A82CC3"/>
    <w:rsid w:val="00A838D6"/>
    <w:rsid w:val="00A83CE0"/>
    <w:rsid w:val="00A91371"/>
    <w:rsid w:val="00A94A73"/>
    <w:rsid w:val="00AA13AA"/>
    <w:rsid w:val="00AA4F36"/>
    <w:rsid w:val="00AA5EB2"/>
    <w:rsid w:val="00AA7838"/>
    <w:rsid w:val="00AB2366"/>
    <w:rsid w:val="00AB787B"/>
    <w:rsid w:val="00AC03F5"/>
    <w:rsid w:val="00AC5BDB"/>
    <w:rsid w:val="00AD3D2F"/>
    <w:rsid w:val="00AD4507"/>
    <w:rsid w:val="00AE1E75"/>
    <w:rsid w:val="00AE4200"/>
    <w:rsid w:val="00AE67AF"/>
    <w:rsid w:val="00AF02F7"/>
    <w:rsid w:val="00AF0770"/>
    <w:rsid w:val="00AF2448"/>
    <w:rsid w:val="00AF620E"/>
    <w:rsid w:val="00B00D48"/>
    <w:rsid w:val="00B00DD0"/>
    <w:rsid w:val="00B02B16"/>
    <w:rsid w:val="00B07C5A"/>
    <w:rsid w:val="00B155FF"/>
    <w:rsid w:val="00B213CC"/>
    <w:rsid w:val="00B2146F"/>
    <w:rsid w:val="00B21F05"/>
    <w:rsid w:val="00B27986"/>
    <w:rsid w:val="00B43361"/>
    <w:rsid w:val="00B4540C"/>
    <w:rsid w:val="00B52E11"/>
    <w:rsid w:val="00B55F53"/>
    <w:rsid w:val="00B60A6B"/>
    <w:rsid w:val="00B81027"/>
    <w:rsid w:val="00B82E4D"/>
    <w:rsid w:val="00B947A8"/>
    <w:rsid w:val="00BB2BDC"/>
    <w:rsid w:val="00BB47D8"/>
    <w:rsid w:val="00BB4C25"/>
    <w:rsid w:val="00BC1FDE"/>
    <w:rsid w:val="00BC31F5"/>
    <w:rsid w:val="00BC3E8B"/>
    <w:rsid w:val="00BC4026"/>
    <w:rsid w:val="00BC5D1B"/>
    <w:rsid w:val="00BC7F36"/>
    <w:rsid w:val="00BD1384"/>
    <w:rsid w:val="00BD6913"/>
    <w:rsid w:val="00BD7847"/>
    <w:rsid w:val="00BE3B48"/>
    <w:rsid w:val="00BE51C2"/>
    <w:rsid w:val="00BF49E3"/>
    <w:rsid w:val="00BF51BA"/>
    <w:rsid w:val="00BF5889"/>
    <w:rsid w:val="00BF66D1"/>
    <w:rsid w:val="00BF72F8"/>
    <w:rsid w:val="00C01439"/>
    <w:rsid w:val="00C04343"/>
    <w:rsid w:val="00C0569B"/>
    <w:rsid w:val="00C1684D"/>
    <w:rsid w:val="00C16CB6"/>
    <w:rsid w:val="00C27611"/>
    <w:rsid w:val="00C300BF"/>
    <w:rsid w:val="00C31AE2"/>
    <w:rsid w:val="00C31D09"/>
    <w:rsid w:val="00C44DD5"/>
    <w:rsid w:val="00C60686"/>
    <w:rsid w:val="00C67152"/>
    <w:rsid w:val="00C67D9C"/>
    <w:rsid w:val="00C71D4E"/>
    <w:rsid w:val="00C71F21"/>
    <w:rsid w:val="00C8589B"/>
    <w:rsid w:val="00C878AB"/>
    <w:rsid w:val="00CA0D03"/>
    <w:rsid w:val="00CA6703"/>
    <w:rsid w:val="00CA70AA"/>
    <w:rsid w:val="00CB6196"/>
    <w:rsid w:val="00CB7065"/>
    <w:rsid w:val="00CC161C"/>
    <w:rsid w:val="00CC3677"/>
    <w:rsid w:val="00CC5A83"/>
    <w:rsid w:val="00CD46A6"/>
    <w:rsid w:val="00CE0179"/>
    <w:rsid w:val="00CE2B9D"/>
    <w:rsid w:val="00CE49EF"/>
    <w:rsid w:val="00CE5774"/>
    <w:rsid w:val="00CE6645"/>
    <w:rsid w:val="00CE6B5D"/>
    <w:rsid w:val="00CF322C"/>
    <w:rsid w:val="00CF4EB8"/>
    <w:rsid w:val="00CF5A44"/>
    <w:rsid w:val="00CF683B"/>
    <w:rsid w:val="00D00601"/>
    <w:rsid w:val="00D10FB1"/>
    <w:rsid w:val="00D15FDF"/>
    <w:rsid w:val="00D16E56"/>
    <w:rsid w:val="00D23867"/>
    <w:rsid w:val="00D26194"/>
    <w:rsid w:val="00D27CD1"/>
    <w:rsid w:val="00D33CBC"/>
    <w:rsid w:val="00D4023C"/>
    <w:rsid w:val="00D44E0A"/>
    <w:rsid w:val="00D47715"/>
    <w:rsid w:val="00D71A56"/>
    <w:rsid w:val="00D752BC"/>
    <w:rsid w:val="00D75E0C"/>
    <w:rsid w:val="00D76CEE"/>
    <w:rsid w:val="00D7757E"/>
    <w:rsid w:val="00D8208F"/>
    <w:rsid w:val="00D82A5A"/>
    <w:rsid w:val="00D94CEF"/>
    <w:rsid w:val="00D95CE2"/>
    <w:rsid w:val="00DA3F38"/>
    <w:rsid w:val="00DB2847"/>
    <w:rsid w:val="00DB2E0E"/>
    <w:rsid w:val="00DB6AA8"/>
    <w:rsid w:val="00DB6DC9"/>
    <w:rsid w:val="00DC357C"/>
    <w:rsid w:val="00DD02D9"/>
    <w:rsid w:val="00DD3191"/>
    <w:rsid w:val="00DD474A"/>
    <w:rsid w:val="00DD7866"/>
    <w:rsid w:val="00DE0902"/>
    <w:rsid w:val="00DE68B1"/>
    <w:rsid w:val="00DF3B66"/>
    <w:rsid w:val="00DF5D92"/>
    <w:rsid w:val="00DF6E45"/>
    <w:rsid w:val="00DF6E82"/>
    <w:rsid w:val="00E03477"/>
    <w:rsid w:val="00E044A1"/>
    <w:rsid w:val="00E07E5A"/>
    <w:rsid w:val="00E23EDF"/>
    <w:rsid w:val="00E323A3"/>
    <w:rsid w:val="00E3780D"/>
    <w:rsid w:val="00E4398A"/>
    <w:rsid w:val="00E47361"/>
    <w:rsid w:val="00E52163"/>
    <w:rsid w:val="00E5725E"/>
    <w:rsid w:val="00E578C9"/>
    <w:rsid w:val="00E610E1"/>
    <w:rsid w:val="00E674A5"/>
    <w:rsid w:val="00E67DF2"/>
    <w:rsid w:val="00E73013"/>
    <w:rsid w:val="00E74830"/>
    <w:rsid w:val="00E829AE"/>
    <w:rsid w:val="00E83033"/>
    <w:rsid w:val="00E90587"/>
    <w:rsid w:val="00E96ED6"/>
    <w:rsid w:val="00EA2CFC"/>
    <w:rsid w:val="00EA450E"/>
    <w:rsid w:val="00EC2092"/>
    <w:rsid w:val="00EC2790"/>
    <w:rsid w:val="00EC5A5E"/>
    <w:rsid w:val="00EC6840"/>
    <w:rsid w:val="00EC6C4D"/>
    <w:rsid w:val="00ED0480"/>
    <w:rsid w:val="00ED1E84"/>
    <w:rsid w:val="00ED295C"/>
    <w:rsid w:val="00ED30D7"/>
    <w:rsid w:val="00ED3CAC"/>
    <w:rsid w:val="00ED6CA8"/>
    <w:rsid w:val="00EE05D8"/>
    <w:rsid w:val="00EF03E2"/>
    <w:rsid w:val="00F12903"/>
    <w:rsid w:val="00F12F7E"/>
    <w:rsid w:val="00F1492F"/>
    <w:rsid w:val="00F14AF6"/>
    <w:rsid w:val="00F244EA"/>
    <w:rsid w:val="00F35C78"/>
    <w:rsid w:val="00F35E40"/>
    <w:rsid w:val="00F4186D"/>
    <w:rsid w:val="00F45EA6"/>
    <w:rsid w:val="00F5070D"/>
    <w:rsid w:val="00F51999"/>
    <w:rsid w:val="00F54569"/>
    <w:rsid w:val="00F55952"/>
    <w:rsid w:val="00F6177F"/>
    <w:rsid w:val="00F66CCE"/>
    <w:rsid w:val="00F71F01"/>
    <w:rsid w:val="00F72CA4"/>
    <w:rsid w:val="00F72D48"/>
    <w:rsid w:val="00F76916"/>
    <w:rsid w:val="00F90535"/>
    <w:rsid w:val="00F90859"/>
    <w:rsid w:val="00F92C9C"/>
    <w:rsid w:val="00F92FC1"/>
    <w:rsid w:val="00F96483"/>
    <w:rsid w:val="00F968E1"/>
    <w:rsid w:val="00FB5197"/>
    <w:rsid w:val="00FB6D8C"/>
    <w:rsid w:val="00FC1B0B"/>
    <w:rsid w:val="00FD1A89"/>
    <w:rsid w:val="00FD73BC"/>
    <w:rsid w:val="00FE461F"/>
    <w:rsid w:val="00FE5CB7"/>
    <w:rsid w:val="00FF73CB"/>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76494"/>
  <w15:chartTrackingRefBased/>
  <w15:docId w15:val="{F87BB002-203C-4F82-A656-349BF4FE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1A8"/>
    <w:pPr>
      <w:widowControl w:val="0"/>
      <w:autoSpaceDE w:val="0"/>
      <w:autoSpaceDN w:val="0"/>
    </w:pPr>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A01A8"/>
    <w:pPr>
      <w:jc w:val="both"/>
    </w:pPr>
    <w:rPr>
      <w:sz w:val="12"/>
      <w:szCs w:val="12"/>
    </w:rPr>
  </w:style>
  <w:style w:type="character" w:customStyle="1" w:styleId="BodyTextChar">
    <w:name w:val="Body Text Char"/>
    <w:basedOn w:val="DefaultParagraphFont"/>
    <w:link w:val="BodyText"/>
    <w:uiPriority w:val="1"/>
    <w:rsid w:val="005A01A8"/>
    <w:rPr>
      <w:rFonts w:ascii="Verdana" w:eastAsia="Verdana" w:hAnsi="Verdana" w:cs="Verdana"/>
      <w:sz w:val="12"/>
      <w:szCs w:val="12"/>
    </w:rPr>
  </w:style>
  <w:style w:type="paragraph" w:styleId="Title">
    <w:name w:val="Title"/>
    <w:basedOn w:val="Normal"/>
    <w:link w:val="TitleChar"/>
    <w:uiPriority w:val="10"/>
    <w:qFormat/>
    <w:rsid w:val="005A01A8"/>
    <w:pPr>
      <w:spacing w:before="73"/>
      <w:ind w:left="2118" w:right="1809" w:firstLine="86"/>
    </w:pPr>
    <w:rPr>
      <w:b/>
      <w:bCs/>
      <w:sz w:val="12"/>
      <w:szCs w:val="12"/>
    </w:rPr>
  </w:style>
  <w:style w:type="character" w:customStyle="1" w:styleId="TitleChar">
    <w:name w:val="Title Char"/>
    <w:basedOn w:val="DefaultParagraphFont"/>
    <w:link w:val="Title"/>
    <w:uiPriority w:val="10"/>
    <w:rsid w:val="005A01A8"/>
    <w:rPr>
      <w:rFonts w:ascii="Verdana" w:eastAsia="Verdana" w:hAnsi="Verdana" w:cs="Verdana"/>
      <w:b/>
      <w:bCs/>
      <w:sz w:val="12"/>
      <w:szCs w:val="12"/>
    </w:rPr>
  </w:style>
  <w:style w:type="paragraph" w:styleId="ListParagraph">
    <w:name w:val="List Paragraph"/>
    <w:basedOn w:val="Normal"/>
    <w:uiPriority w:val="1"/>
    <w:qFormat/>
    <w:rsid w:val="005A01A8"/>
    <w:pPr>
      <w:ind w:left="111" w:right="38"/>
      <w:jc w:val="both"/>
    </w:pPr>
  </w:style>
  <w:style w:type="paragraph" w:customStyle="1" w:styleId="TableParagraph">
    <w:name w:val="Table Paragraph"/>
    <w:basedOn w:val="Normal"/>
    <w:uiPriority w:val="1"/>
    <w:qFormat/>
    <w:rsid w:val="005A01A8"/>
    <w:pPr>
      <w:ind w:left="57"/>
    </w:pPr>
  </w:style>
  <w:style w:type="paragraph" w:styleId="Header">
    <w:name w:val="header"/>
    <w:basedOn w:val="Normal"/>
    <w:link w:val="HeaderChar"/>
    <w:uiPriority w:val="99"/>
    <w:unhideWhenUsed/>
    <w:rsid w:val="00A83CE0"/>
    <w:pPr>
      <w:tabs>
        <w:tab w:val="center" w:pos="4680"/>
        <w:tab w:val="right" w:pos="9360"/>
      </w:tabs>
    </w:pPr>
  </w:style>
  <w:style w:type="character" w:customStyle="1" w:styleId="HeaderChar">
    <w:name w:val="Header Char"/>
    <w:basedOn w:val="DefaultParagraphFont"/>
    <w:link w:val="Header"/>
    <w:uiPriority w:val="99"/>
    <w:rsid w:val="00A83CE0"/>
    <w:rPr>
      <w:rFonts w:ascii="Verdana" w:eastAsia="Verdana" w:hAnsi="Verdana" w:cs="Verdana"/>
    </w:rPr>
  </w:style>
  <w:style w:type="paragraph" w:styleId="Footer">
    <w:name w:val="footer"/>
    <w:basedOn w:val="Normal"/>
    <w:link w:val="FooterChar"/>
    <w:uiPriority w:val="99"/>
    <w:unhideWhenUsed/>
    <w:rsid w:val="00A83CE0"/>
    <w:pPr>
      <w:tabs>
        <w:tab w:val="center" w:pos="4680"/>
        <w:tab w:val="right" w:pos="9360"/>
      </w:tabs>
    </w:pPr>
  </w:style>
  <w:style w:type="character" w:customStyle="1" w:styleId="FooterChar">
    <w:name w:val="Footer Char"/>
    <w:basedOn w:val="DefaultParagraphFont"/>
    <w:link w:val="Footer"/>
    <w:uiPriority w:val="99"/>
    <w:rsid w:val="00A83CE0"/>
    <w:rPr>
      <w:rFonts w:ascii="Verdana" w:eastAsia="Verdana" w:hAnsi="Verdana" w:cs="Verdana"/>
    </w:rPr>
  </w:style>
  <w:style w:type="character" w:styleId="Hyperlink">
    <w:name w:val="Hyperlink"/>
    <w:basedOn w:val="DefaultParagraphFont"/>
    <w:uiPriority w:val="99"/>
    <w:unhideWhenUsed/>
    <w:rsid w:val="007D127E"/>
    <w:rPr>
      <w:color w:val="0563C1" w:themeColor="hyperlink"/>
      <w:u w:val="single"/>
    </w:rPr>
  </w:style>
  <w:style w:type="character" w:customStyle="1" w:styleId="UnresolvedMention1">
    <w:name w:val="Unresolved Mention1"/>
    <w:basedOn w:val="DefaultParagraphFont"/>
    <w:uiPriority w:val="99"/>
    <w:semiHidden/>
    <w:unhideWhenUsed/>
    <w:rsid w:val="007D127E"/>
    <w:rPr>
      <w:color w:val="605E5C"/>
      <w:shd w:val="clear" w:color="auto" w:fill="E1DFDD"/>
    </w:rPr>
  </w:style>
  <w:style w:type="character" w:styleId="CommentReference">
    <w:name w:val="annotation reference"/>
    <w:basedOn w:val="DefaultParagraphFont"/>
    <w:uiPriority w:val="99"/>
    <w:semiHidden/>
    <w:unhideWhenUsed/>
    <w:rsid w:val="00AD3D2F"/>
    <w:rPr>
      <w:sz w:val="16"/>
      <w:szCs w:val="16"/>
    </w:rPr>
  </w:style>
  <w:style w:type="paragraph" w:styleId="CommentText">
    <w:name w:val="annotation text"/>
    <w:basedOn w:val="Normal"/>
    <w:link w:val="CommentTextChar"/>
    <w:uiPriority w:val="99"/>
    <w:unhideWhenUsed/>
    <w:rsid w:val="00AD3D2F"/>
    <w:rPr>
      <w:sz w:val="20"/>
      <w:szCs w:val="20"/>
    </w:rPr>
  </w:style>
  <w:style w:type="character" w:customStyle="1" w:styleId="CommentTextChar">
    <w:name w:val="Comment Text Char"/>
    <w:basedOn w:val="DefaultParagraphFont"/>
    <w:link w:val="CommentText"/>
    <w:uiPriority w:val="99"/>
    <w:rsid w:val="00AD3D2F"/>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AD3D2F"/>
    <w:rPr>
      <w:b/>
      <w:bCs/>
    </w:rPr>
  </w:style>
  <w:style w:type="character" w:customStyle="1" w:styleId="CommentSubjectChar">
    <w:name w:val="Comment Subject Char"/>
    <w:basedOn w:val="CommentTextChar"/>
    <w:link w:val="CommentSubject"/>
    <w:uiPriority w:val="99"/>
    <w:semiHidden/>
    <w:rsid w:val="00AD3D2F"/>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AD3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D2F"/>
    <w:rPr>
      <w:rFonts w:ascii="Segoe UI" w:eastAsia="Verdana" w:hAnsi="Segoe UI" w:cs="Segoe UI"/>
      <w:sz w:val="18"/>
      <w:szCs w:val="18"/>
    </w:rPr>
  </w:style>
  <w:style w:type="paragraph" w:styleId="Revision">
    <w:name w:val="Revision"/>
    <w:hidden/>
    <w:uiPriority w:val="99"/>
    <w:semiHidden/>
    <w:rsid w:val="00714EFC"/>
    <w:rPr>
      <w:rFonts w:ascii="Verdana" w:eastAsia="Verdana" w:hAnsi="Verdana" w:cs="Verdana"/>
    </w:rPr>
  </w:style>
  <w:style w:type="character" w:styleId="FollowedHyperlink">
    <w:name w:val="FollowedHyperlink"/>
    <w:basedOn w:val="DefaultParagraphFont"/>
    <w:uiPriority w:val="99"/>
    <w:semiHidden/>
    <w:unhideWhenUsed/>
    <w:rsid w:val="00D95C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90554">
      <w:bodyDiv w:val="1"/>
      <w:marLeft w:val="0"/>
      <w:marRight w:val="0"/>
      <w:marTop w:val="0"/>
      <w:marBottom w:val="0"/>
      <w:divBdr>
        <w:top w:val="none" w:sz="0" w:space="0" w:color="auto"/>
        <w:left w:val="none" w:sz="0" w:space="0" w:color="auto"/>
        <w:bottom w:val="none" w:sz="0" w:space="0" w:color="auto"/>
        <w:right w:val="none" w:sz="0" w:space="0" w:color="auto"/>
      </w:divBdr>
    </w:div>
    <w:div w:id="1364134750">
      <w:bodyDiv w:val="1"/>
      <w:marLeft w:val="0"/>
      <w:marRight w:val="0"/>
      <w:marTop w:val="0"/>
      <w:marBottom w:val="0"/>
      <w:divBdr>
        <w:top w:val="none" w:sz="0" w:space="0" w:color="auto"/>
        <w:left w:val="none" w:sz="0" w:space="0" w:color="auto"/>
        <w:bottom w:val="none" w:sz="0" w:space="0" w:color="auto"/>
        <w:right w:val="none" w:sz="0" w:space="0" w:color="auto"/>
      </w:divBdr>
    </w:div>
    <w:div w:id="20837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p65warnings.c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interfor.com/terms-and-conditions/)%20" TargetMode="External"/><Relationship Id="rId20" Type="http://schemas.openxmlformats.org/officeDocument/2006/relationships/hyperlink" Target="https://interfor.com/terms-and-condi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p65warnings.ca.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D70E02E466E7F643B241781DB3B2EE240007C813021D13814A88D85249A7DD8828" ma:contentTypeVersion="13" ma:contentTypeDescription="Create a new document." ma:contentTypeScope="" ma:versionID="47c41336714f52dde9b6fc07252df35b">
  <xsd:schema xmlns:xsd="http://www.w3.org/2001/XMLSchema" xmlns:xs="http://www.w3.org/2001/XMLSchema" xmlns:p="http://schemas.microsoft.com/office/2006/metadata/properties" xmlns:ns2="63bcab3b-0052-4e5f-a75c-991d8e84c9b6" xmlns:ns3="http://schemas.microsoft.com/sharepoint/v3/fields" xmlns:ns4="826d9bf5-8b43-4bbf-a6ed-37453cf70622" targetNamespace="http://schemas.microsoft.com/office/2006/metadata/properties" ma:root="true" ma:fieldsID="7c7bcdc732e85b2d7ecdf4e8a20fa045" ns2:_="" ns3:_="" ns4:_="">
    <xsd:import namespace="63bcab3b-0052-4e5f-a75c-991d8e84c9b6"/>
    <xsd:import namespace="http://schemas.microsoft.com/sharepoint/v3/fields"/>
    <xsd:import namespace="826d9bf5-8b43-4bbf-a6ed-37453cf70622"/>
    <xsd:element name="properties">
      <xsd:complexType>
        <xsd:sequence>
          <xsd:element name="documentManagement">
            <xsd:complexType>
              <xsd:all>
                <xsd:element ref="ns2:ClientName" minOccurs="0"/>
                <xsd:element ref="ns2:ClientCode" minOccurs="0"/>
                <xsd:element ref="ns2:MatterName" minOccurs="0"/>
                <xsd:element ref="ns2:MatterCode" minOccurs="0"/>
                <xsd:element ref="ns2:_dlc_DocId" minOccurs="0"/>
                <xsd:element ref="ns2:_dlc_DocIdUrl" minOccurs="0"/>
                <xsd:element ref="ns2:_dlc_DocIdPersistId" minOccurs="0"/>
                <xsd:element ref="ns2:ha2b5682061b490983f9b393e3ec2c62" minOccurs="0"/>
                <xsd:element ref="ns2:TaxCatchAll" minOccurs="0"/>
                <xsd:element ref="ns2:TaxCatchAllLabel" minOccurs="0"/>
                <xsd:element ref="ns2:he3a18a126d0476385d54c359e99625f" minOccurs="0"/>
                <xsd:element ref="ns3:ShortComment"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cab3b-0052-4e5f-a75c-991d8e84c9b6" elementFormDefault="qualified">
    <xsd:import namespace="http://schemas.microsoft.com/office/2006/documentManagement/types"/>
    <xsd:import namespace="http://schemas.microsoft.com/office/infopath/2007/PartnerControls"/>
    <xsd:element name="ClientName" ma:index="2" nillable="true" ma:displayName="ClientName" ma:default="Interfor Corporation" ma:internalName="ClientName" ma:readOnly="false">
      <xsd:simpleType>
        <xsd:restriction base="dms:Text"/>
      </xsd:simpleType>
    </xsd:element>
    <xsd:element name="ClientCode" ma:index="3" nillable="true" ma:displayName="ClientCode" ma:default="161076" ma:internalName="ClientCode" ma:readOnly="false">
      <xsd:simpleType>
        <xsd:restriction base="dms:Text"/>
      </xsd:simpleType>
    </xsd:element>
    <xsd:element name="MatterName" ma:index="4" nillable="true" ma:displayName="MatterName" ma:default="Interfor - General" ma:internalName="MatterName" ma:readOnly="false">
      <xsd:simpleType>
        <xsd:restriction base="dms:Text"/>
      </xsd:simpleType>
    </xsd:element>
    <xsd:element name="MatterCode" ma:index="5" nillable="true" ma:displayName="MatterCode" ma:default="354673" ma:internalName="MatterCode" ma:readOnly="false">
      <xsd:simpleType>
        <xsd:restriction base="dms:Text"/>
      </xsd:simpleType>
    </xsd:element>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a2b5682061b490983f9b393e3ec2c62" ma:index="15" nillable="true" ma:taxonomy="true" ma:internalName="ha2b5682061b490983f9b393e3ec2c62" ma:taxonomyFieldName="MTDivision" ma:displayName="MT Division" ma:readOnly="false" ma:default="-1;#MTVersion|be1a01c1-144e-4a9e-a6ba-ae5eb384c8da" ma:fieldId="{1a2b5682-061b-4909-83f9-b393e3ec2c62}" ma:sspId="ec44581f-8541-4d46-a55d-88046e813441" ma:termSetId="3563b1f3-2181-48b7-9fcb-83c27ed778c4"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bf8033fc-88b3-46c9-be59-2f73555eb4ea}" ma:internalName="TaxCatchAll" ma:showField="CatchAllData" ma:web="63bcab3b-0052-4e5f-a75c-991d8e84c9b6">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bf8033fc-88b3-46c9-be59-2f73555eb4ea}" ma:internalName="TaxCatchAllLabel" ma:readOnly="true" ma:showField="CatchAllDataLabel" ma:web="63bcab3b-0052-4e5f-a75c-991d8e84c9b6">
      <xsd:complexType>
        <xsd:complexContent>
          <xsd:extension base="dms:MultiChoiceLookup">
            <xsd:sequence>
              <xsd:element name="Value" type="dms:Lookup" maxOccurs="unbounded" minOccurs="0" nillable="true"/>
            </xsd:sequence>
          </xsd:extension>
        </xsd:complexContent>
      </xsd:complexType>
    </xsd:element>
    <xsd:element name="he3a18a126d0476385d54c359e99625f" ma:index="19" nillable="true" ma:taxonomy="true" ma:internalName="he3a18a126d0476385d54c359e99625f" ma:taxonomyFieldName="DocumentType" ma:displayName="DocumentType" ma:readOnly="false" ma:fieldId="{1e3a18a1-26d0-4763-85d5-4c359e99625f}" ma:sspId="ec44581f-8541-4d46-a55d-88046e813441" ma:termSetId="cc2776fc-c463-4af7-b100-d4cb645c32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21" nillable="true" ma:displayName="Comments" ma:internalName="ShortCommen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d9bf5-8b43-4bbf-a6ed-37453cf70622"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ortComment xmlns="http://schemas.microsoft.com/sharepoint/v3/fields" xsi:nil="true"/>
    <ClientName xmlns="63bcab3b-0052-4e5f-a75c-991d8e84c9b6">MT&gt;Version temporary client</ClientName>
    <ClientCode xmlns="63bcab3b-0052-4e5f-a75c-991d8e84c9b6">777777</ClientCode>
    <MatterName xmlns="63bcab3b-0052-4e5f-a75c-991d8e84c9b6">Temporary Matter</MatterName>
    <MatterCode xmlns="63bcab3b-0052-4e5f-a75c-991d8e84c9b6">777777</MatterCode>
    <TaxCatchAll xmlns="63bcab3b-0052-4e5f-a75c-991d8e84c9b6">
      <Value>1</Value>
    </TaxCatchAll>
    <_dlc_DocId xmlns="63bcab3b-0052-4e5f-a75c-991d8e84c9b6">7777777-1163073582-1182</_dlc_DocId>
    <_dlc_DocIdUrl xmlns="63bcab3b-0052-4e5f-a75c-991d8e84c9b6">
      <Url>https://mtdivision.sharepoint.com/sites/7777777/_layouts/15/DocIdRedir.aspx?ID=7777777-1163073582-1182</Url>
      <Description>7777777-1163073582-1182</Description>
    </_dlc_DocIdUrl>
    <he3a18a126d0476385d54c359e99625f xmlns="63bcab3b-0052-4e5f-a75c-991d8e84c9b6">
      <Terms xmlns="http://schemas.microsoft.com/office/infopath/2007/PartnerControls"/>
    </he3a18a126d0476385d54c359e99625f>
    <ha2b5682061b490983f9b393e3ec2c62 xmlns="63bcab3b-0052-4e5f-a75c-991d8e84c9b6">
      <Terms xmlns="http://schemas.microsoft.com/office/infopath/2007/PartnerControls">
        <TermInfo xmlns="http://schemas.microsoft.com/office/infopath/2007/PartnerControls">
          <TermName xmlns="http://schemas.microsoft.com/office/infopath/2007/PartnerControls">MTVersion</TermName>
          <TermId xmlns="http://schemas.microsoft.com/office/infopath/2007/PartnerControls">be1a01c1-144e-4a9e-a6ba-ae5eb384c8da</TermId>
        </TermInfo>
      </Terms>
    </ha2b5682061b490983f9b393e3ec2c62>
    <_dlc_DocIdPersistId xmlns="63bcab3b-0052-4e5f-a75c-991d8e84c9b6">false</_dlc_DocIdPersist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1 6 " ? > < p r o p e r t i e s   x m l n s = " h t t p : / / w w w . i m a n a g e . c o m / w o r k / x m l s c h e m a " >  
     < d o c u m e n t i d > M T D O C S ! 4 4 2 0 6 4 3 4 . 4 < / d o c u m e n t i d >  
     < s e n d e r i d > G G I G U E R E < / s e n d e r i d >  
     < s e n d e r e m a i l > G G I G U E R E @ M C C A R T H Y . C A < / s e n d e r e m a i l >  
     < l a s t m o d i f i e d > 2 0 2 2 - 0 3 - 1 5 T 2 0 : 1 8 : 0 0 . 0 0 0 0 0 0 0 - 0 4 : 0 0 < / l a s t m o d i f i e d >  
     < d a t a b a s e > M T D O C S < / d a t a b a s e >  
 < / 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D09456-982D-41D3-B29B-1CA586265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cab3b-0052-4e5f-a75c-991d8e84c9b6"/>
    <ds:schemaRef ds:uri="http://schemas.microsoft.com/sharepoint/v3/fields"/>
    <ds:schemaRef ds:uri="826d9bf5-8b43-4bbf-a6ed-37453cf70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83188-EEE9-4252-9A15-EF6EE29DC501}">
  <ds:schemaRefs>
    <ds:schemaRef ds:uri="http://schemas.microsoft.com/office/2006/metadata/properties"/>
    <ds:schemaRef ds:uri="http://schemas.microsoft.com/office/infopath/2007/PartnerControls"/>
    <ds:schemaRef ds:uri="http://schemas.microsoft.com/sharepoint/v3/fields"/>
    <ds:schemaRef ds:uri="63bcab3b-0052-4e5f-a75c-991d8e84c9b6"/>
  </ds:schemaRefs>
</ds:datastoreItem>
</file>

<file path=customXml/itemProps3.xml><?xml version="1.0" encoding="utf-8"?>
<ds:datastoreItem xmlns:ds="http://schemas.openxmlformats.org/officeDocument/2006/customXml" ds:itemID="{5BE2BE46-39CE-418D-B3F7-E560AA295456}">
  <ds:schemaRefs>
    <ds:schemaRef ds:uri="http://schemas.openxmlformats.org/officeDocument/2006/bibliography"/>
  </ds:schemaRefs>
</ds:datastoreItem>
</file>

<file path=customXml/itemProps4.xml><?xml version="1.0" encoding="utf-8"?>
<ds:datastoreItem xmlns:ds="http://schemas.openxmlformats.org/officeDocument/2006/customXml" ds:itemID="{4F75BB9C-D3CF-43BB-BA91-B51EED43D45E}">
  <ds:schemaRefs>
    <ds:schemaRef ds:uri="http://www.imanage.com/work/xmlschema"/>
  </ds:schemaRefs>
</ds:datastoreItem>
</file>

<file path=customXml/itemProps5.xml><?xml version="1.0" encoding="utf-8"?>
<ds:datastoreItem xmlns:ds="http://schemas.openxmlformats.org/officeDocument/2006/customXml" ds:itemID="{4896E9D7-93DC-44CF-B229-4F751903C9BB}">
  <ds:schemaRefs>
    <ds:schemaRef ds:uri="http://schemas.microsoft.com/sharepoint/events"/>
  </ds:schemaRefs>
</ds:datastoreItem>
</file>

<file path=customXml/itemProps6.xml><?xml version="1.0" encoding="utf-8"?>
<ds:datastoreItem xmlns:ds="http://schemas.openxmlformats.org/officeDocument/2006/customXml" ds:itemID="{579D0DCA-9755-47DB-9482-5849CB40E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3</Pages>
  <Words>5211</Words>
  <Characters>29549</Characters>
  <Application>Microsoft Office Word</Application>
  <DocSecurity>0</DocSecurity>
  <Lines>1343</Lines>
  <Paragraphs>939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Marie-Eve Bédard</dc:creator>
  <cp:keywords/>
  <dc:description/>
  <cp:lastModifiedBy>Antonia Nassopoulou</cp:lastModifiedBy>
  <cp:revision>218</cp:revision>
  <dcterms:created xsi:type="dcterms:W3CDTF">2022-03-15T21:49:00Z</dcterms:created>
  <dcterms:modified xsi:type="dcterms:W3CDTF">2022-11-02T20:40:00Z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0x010100D70E02E466E7F643B241781DB3B2EE240007C813021D13814A88D85249A7DD8828</vt:lpwstr>
  </property>
  <property fmtid="{D5CDD505-2E9C-101B-9397-08002B2CF9AE}" pid="3" name="ContentType">
    <vt:lpwstr>DMS Document</vt:lpwstr>
  </property>
  <property fmtid="{D5CDD505-2E9C-101B-9397-08002B2CF9AE}" pid="4" name="ClientName">
    <vt:lpwstr>Interfor Corporation</vt:lpwstr>
  </property>
  <property fmtid="{D5CDD505-2E9C-101B-9397-08002B2CF9AE}" pid="5" name="ClientCode">
    <vt:lpwstr>777777</vt:lpwstr>
  </property>
  <property fmtid="{D5CDD505-2E9C-101B-9397-08002B2CF9AE}" pid="6" name="MatterName">
    <vt:lpwstr>General</vt:lpwstr>
  </property>
  <property fmtid="{D5CDD505-2E9C-101B-9397-08002B2CF9AE}" pid="7" name="MatterCode">
    <vt:lpwstr>777777</vt:lpwstr>
  </property>
  <property fmtid="{D5CDD505-2E9C-101B-9397-08002B2CF9AE}" pid="8" name="ec3ccb1c698f4d31a83e29922458a82f">
    <vt:lpwstr>MTVersion|be1a01c1-144e-4a9e-a6ba-ae5eb384c8da</vt:lpwstr>
  </property>
  <property fmtid="{D5CDD505-2E9C-101B-9397-08002B2CF9AE}" pid="9" name="MTDivision">
    <vt:lpwstr>1;#MTVersion|be1a01c1-144e-4a9e-a6ba-ae5eb384c8da</vt:lpwstr>
  </property>
  <property fmtid="{D5CDD505-2E9C-101B-9397-08002B2CF9AE}" pid="10" name="Created">
    <vt:lpwstr>2022-01-26T20:42:00+00:00</vt:lpwstr>
  </property>
  <property fmtid="{D5CDD505-2E9C-101B-9397-08002B2CF9AE}" pid="11" name="DocumentType">
    <vt:lpwstr/>
  </property>
  <property fmtid="{D5CDD505-2E9C-101B-9397-08002B2CF9AE}" pid="12" name="_dlc_DocIdItemGuid">
    <vt:lpwstr>d4436f47-9330-48f7-8241-b53c37637578</vt:lpwstr>
  </property>
  <property fmtid="{D5CDD505-2E9C-101B-9397-08002B2CF9AE}" pid="13" name="n502d1ed21a542c4b86a5b2b3f1b47ad">
    <vt:lpwstr/>
  </property>
  <property fmtid="{D5CDD505-2E9C-101B-9397-08002B2CF9AE}" pid="14" name="CorrespondenceType">
    <vt:lpwstr/>
  </property>
  <property fmtid="{D5CDD505-2E9C-101B-9397-08002B2CF9AE}" pid="15" name="Modified">
    <vt:lpwstr>2022-01-26T21:31:00+00:00</vt:lpwstr>
  </property>
  <property fmtid="{D5CDD505-2E9C-101B-9397-08002B2CF9AE}" pid="16" name="Sent representing e-mail address">
    <vt:lpwstr/>
  </property>
  <property fmtid="{D5CDD505-2E9C-101B-9397-08002B2CF9AE}" pid="17" name="Sender name">
    <vt:lpwstr/>
  </property>
  <property fmtid="{D5CDD505-2E9C-101B-9397-08002B2CF9AE}" pid="18" name="Topic">
    <vt:lpwstr/>
  </property>
  <property fmtid="{D5CDD505-2E9C-101B-9397-08002B2CF9AE}" pid="19" name="Transport message headers">
    <vt:lpwstr/>
  </property>
  <property fmtid="{D5CDD505-2E9C-101B-9397-08002B2CF9AE}" pid="20" name="Conversation topic">
    <vt:lpwstr/>
  </property>
  <property fmtid="{D5CDD505-2E9C-101B-9397-08002B2CF9AE}" pid="21" name="xd_ProgID">
    <vt:lpwstr/>
  </property>
  <property fmtid="{D5CDD505-2E9C-101B-9397-08002B2CF9AE}" pid="22" name="Received by name">
    <vt:lpwstr/>
  </property>
  <property fmtid="{D5CDD505-2E9C-101B-9397-08002B2CF9AE}" pid="23" name="ComplianceAssetId">
    <vt:lpwstr/>
  </property>
  <property fmtid="{D5CDD505-2E9C-101B-9397-08002B2CF9AE}" pid="24" name="TemplateUrl">
    <vt:lpwstr/>
  </property>
  <property fmtid="{D5CDD505-2E9C-101B-9397-08002B2CF9AE}" pid="25" name="Message class">
    <vt:lpwstr/>
  </property>
  <property fmtid="{D5CDD505-2E9C-101B-9397-08002B2CF9AE}" pid="26" name="_ExtendedDescription">
    <vt:lpwstr/>
  </property>
  <property fmtid="{D5CDD505-2E9C-101B-9397-08002B2CF9AE}" pid="27" name="TriggerFlowInfo">
    <vt:lpwstr/>
  </property>
  <property fmtid="{D5CDD505-2E9C-101B-9397-08002B2CF9AE}" pid="28" name="Received representing address type">
    <vt:lpwstr/>
  </property>
  <property fmtid="{D5CDD505-2E9C-101B-9397-08002B2CF9AE}" pid="29" name="Sent representing name">
    <vt:lpwstr/>
  </property>
  <property fmtid="{D5CDD505-2E9C-101B-9397-08002B2CF9AE}" pid="30" name="SMTPBCC">
    <vt:lpwstr/>
  </property>
  <property fmtid="{D5CDD505-2E9C-101B-9397-08002B2CF9AE}" pid="31" name="lc8978f5886f422580eaf0f00da6eb6f">
    <vt:lpwstr/>
  </property>
  <property fmtid="{D5CDD505-2E9C-101B-9397-08002B2CF9AE}" pid="32" name="Sent representing address type">
    <vt:lpwstr/>
  </property>
  <property fmtid="{D5CDD505-2E9C-101B-9397-08002B2CF9AE}" pid="33" name="xd_Signature">
    <vt:bool>false</vt:bool>
  </property>
  <property fmtid="{D5CDD505-2E9C-101B-9397-08002B2CF9AE}" pid="34" name="SMTPCC">
    <vt:lpwstr/>
  </property>
  <property fmtid="{D5CDD505-2E9C-101B-9397-08002B2CF9AE}" pid="35" name="BCC">
    <vt:lpwstr/>
  </property>
  <property fmtid="{D5CDD505-2E9C-101B-9397-08002B2CF9AE}" pid="36" name="Received by address type">
    <vt:lpwstr/>
  </property>
  <property fmtid="{D5CDD505-2E9C-101B-9397-08002B2CF9AE}" pid="37" name="SMTPTo">
    <vt:lpwstr/>
  </property>
  <property fmtid="{D5CDD505-2E9C-101B-9397-08002B2CF9AE}" pid="38" name="Internet message id">
    <vt:lpwstr/>
  </property>
  <property fmtid="{D5CDD505-2E9C-101B-9397-08002B2CF9AE}" pid="39" name="CC">
    <vt:lpwstr/>
  </property>
  <property fmtid="{D5CDD505-2E9C-101B-9397-08002B2CF9AE}" pid="40" name="Sender address type">
    <vt:lpwstr/>
  </property>
  <property fmtid="{D5CDD505-2E9C-101B-9397-08002B2CF9AE}" pid="41" name="Has attachment">
    <vt:bool>false</vt:bool>
  </property>
  <property fmtid="{D5CDD505-2E9C-101B-9397-08002B2CF9AE}" pid="42" name="Received representing name">
    <vt:lpwstr/>
  </property>
  <property fmtid="{D5CDD505-2E9C-101B-9397-08002B2CF9AE}" pid="43" name="Received by e-mail address">
    <vt:lpwstr/>
  </property>
  <property fmtid="{D5CDD505-2E9C-101B-9397-08002B2CF9AE}" pid="44" name="To">
    <vt:lpwstr/>
  </property>
  <property fmtid="{D5CDD505-2E9C-101B-9397-08002B2CF9AE}" pid="45" name="SMTPFrom">
    <vt:lpwstr/>
  </property>
  <property fmtid="{D5CDD505-2E9C-101B-9397-08002B2CF9AE}" pid="46" name="Sender e-mail address">
    <vt:lpwstr/>
  </property>
  <property fmtid="{D5CDD505-2E9C-101B-9397-08002B2CF9AE}" pid="47" name="Received representing e-mail address">
    <vt:lpwstr/>
  </property>
  <property fmtid="{D5CDD505-2E9C-101B-9397-08002B2CF9AE}" pid="48" name="DocumentNumber">
    <vt:lpwstr>44206434</vt:lpwstr>
  </property>
  <property fmtid="{D5CDD505-2E9C-101B-9397-08002B2CF9AE}" pid="49" name="DocumentVersion">
    <vt:lpwstr>4</vt:lpwstr>
  </property>
  <property fmtid="{D5CDD505-2E9C-101B-9397-08002B2CF9AE}" pid="50" name="ClientNumber">
    <vt:lpwstr>161076</vt:lpwstr>
  </property>
  <property fmtid="{D5CDD505-2E9C-101B-9397-08002B2CF9AE}" pid="51" name="MatterNumber">
    <vt:lpwstr>354673</vt:lpwstr>
  </property>
  <property fmtid="{D5CDD505-2E9C-101B-9397-08002B2CF9AE}" pid="52" name="DatabaseName">
    <vt:lpwstr>MTDOCS</vt:lpwstr>
  </property>
  <property fmtid="{D5CDD505-2E9C-101B-9397-08002B2CF9AE}" pid="53" name="TypistName">
    <vt:lpwstr>CCHEVALIERGAGNON</vt:lpwstr>
  </property>
  <property fmtid="{D5CDD505-2E9C-101B-9397-08002B2CF9AE}" pid="54" name="AuthorName">
    <vt:lpwstr>GGIGUERE</vt:lpwstr>
  </property>
  <property fmtid="{D5CDD505-2E9C-101B-9397-08002B2CF9AE}" pid="55" name="InUseBy">
    <vt:lpwstr>GGIGUERE</vt:lpwstr>
  </property>
  <property fmtid="{D5CDD505-2E9C-101B-9397-08002B2CF9AE}" pid="56" name="EditDate">
    <vt:lpwstr>03/15/22 22:28:36</vt:lpwstr>
  </property>
  <property fmtid="{D5CDD505-2E9C-101B-9397-08002B2CF9AE}" pid="57" name="EditTime">
    <vt:lpwstr/>
  </property>
  <property fmtid="{D5CDD505-2E9C-101B-9397-08002B2CF9AE}" pid="58" name="IsiManageWork">
    <vt:lpwstr>True</vt:lpwstr>
  </property>
</Properties>
</file>