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penAt"/>
    <w:bookmarkStart w:id="1" w:name="_Hlk94104155"/>
    <w:bookmarkEnd w:id="0"/>
    <w:p w14:paraId="4CA51028" w14:textId="12DAB4E0" w:rsidR="003F6A1B" w:rsidRDefault="003F6A1B" w:rsidP="00B55ADC">
      <w:pPr>
        <w:pStyle w:val="Title"/>
        <w:rPr>
          <w:color w:val="000000"/>
          <w:lang w:val="en-CA"/>
        </w:rPr>
      </w:pPr>
      <w:r>
        <w:rPr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2080" wp14:editId="2A0913AD">
                <wp:simplePos x="0" y="0"/>
                <wp:positionH relativeFrom="column">
                  <wp:posOffset>2254195</wp:posOffset>
                </wp:positionH>
                <wp:positionV relativeFrom="paragraph">
                  <wp:posOffset>-258417</wp:posOffset>
                </wp:positionV>
                <wp:extent cx="2083242" cy="532737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FD0AC" w14:textId="761CA19D" w:rsidR="0084006E" w:rsidRDefault="0084006E" w:rsidP="003F6A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3710CEE" wp14:editId="7CEECC26">
                                  <wp:extent cx="1335713" cy="532525"/>
                                  <wp:effectExtent l="0" t="0" r="0" b="127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76" cy="539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120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5pt;margin-top:-20.35pt;width:164.0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" fillcolor="white [3201]" stroked="f" strokeweight=".5pt">
                <v:textbox>
                  <w:txbxContent>
                    <w:p w14:paraId="5A7FD0AC" w14:textId="761CA19D" w:rsidR="0084006E" w:rsidRDefault="0084006E" w:rsidP="003F6A1B">
                      <w:pPr>
                        <w:jc w:val="center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3710CEE" wp14:editId="7CEECC26">
                            <wp:extent cx="1335713" cy="532525"/>
                            <wp:effectExtent l="0" t="0" r="0" b="127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76" cy="539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EE9682" w14:textId="77777777" w:rsidR="003F6A1B" w:rsidRDefault="003F6A1B" w:rsidP="00B55ADC">
      <w:pPr>
        <w:pStyle w:val="Title"/>
        <w:rPr>
          <w:color w:val="000000"/>
          <w:lang w:val="en-CA"/>
        </w:rPr>
      </w:pPr>
    </w:p>
    <w:p w14:paraId="36062F03" w14:textId="0651BB9E" w:rsidR="004F4140" w:rsidRPr="006F028A" w:rsidRDefault="004F4140" w:rsidP="006F028A">
      <w:pPr>
        <w:pStyle w:val="Heading1"/>
        <w:spacing w:before="101"/>
        <w:ind w:left="2124" w:right="2465" w:firstLine="708"/>
        <w:rPr>
          <w:lang w:val="en-US"/>
        </w:rPr>
      </w:pPr>
      <w:r w:rsidRPr="006F028A">
        <w:rPr>
          <w:color w:val="000000"/>
          <w:lang w:val="en-US"/>
        </w:rPr>
        <w:t>INTERFOR CORPORATION, INTERFOR EST LTÉE., EACOM TIMBER CORPORATION ET INTERFOR U.S. INC.</w:t>
      </w:r>
    </w:p>
    <w:p w14:paraId="3DFE16E1" w14:textId="112C392C" w:rsidR="00AC1ABC" w:rsidRPr="00AC1ABC" w:rsidRDefault="00CE4FA4" w:rsidP="00AC1ABC">
      <w:pPr>
        <w:ind w:left="2466" w:right="2466"/>
        <w:jc w:val="center"/>
        <w:rPr>
          <w:rFonts w:ascii="Verdana" w:hAnsi="Verdana"/>
          <w:b/>
          <w:sz w:val="12"/>
        </w:rPr>
      </w:pPr>
      <w:r>
        <w:rPr>
          <w:rFonts w:ascii="Verdana" w:hAnsi="Verdana"/>
          <w:b/>
          <w:color w:val="000000"/>
          <w:sz w:val="12"/>
        </w:rPr>
        <w:t>CONDITIONS GÉNÉRALES</w:t>
      </w:r>
      <w:r w:rsidR="00AC1ABC" w:rsidRPr="00AC1ABC">
        <w:rPr>
          <w:rFonts w:ascii="Verdana" w:hAnsi="Verdana"/>
          <w:b/>
          <w:color w:val="000000"/>
          <w:sz w:val="12"/>
        </w:rPr>
        <w:t xml:space="preserve"> D’ACHAT DE </w:t>
      </w:r>
      <w:r>
        <w:rPr>
          <w:rFonts w:ascii="Verdana" w:hAnsi="Verdana"/>
          <w:b/>
          <w:color w:val="000000"/>
          <w:sz w:val="12"/>
        </w:rPr>
        <w:t>BIENS</w:t>
      </w:r>
      <w:r w:rsidR="00F813AC">
        <w:rPr>
          <w:rFonts w:ascii="Verdana" w:hAnsi="Verdana"/>
          <w:b/>
          <w:color w:val="000000"/>
          <w:sz w:val="12"/>
        </w:rPr>
        <w:t xml:space="preserve"> ET DE </w:t>
      </w:r>
      <w:r>
        <w:rPr>
          <w:rFonts w:ascii="Verdana" w:hAnsi="Verdana"/>
          <w:b/>
          <w:color w:val="000000"/>
          <w:sz w:val="12"/>
        </w:rPr>
        <w:t>SERVICES</w:t>
      </w:r>
      <w:r w:rsidR="00AC2E33">
        <w:rPr>
          <w:rFonts w:ascii="Verdana" w:hAnsi="Verdana"/>
          <w:b/>
          <w:color w:val="000000"/>
          <w:sz w:val="12"/>
        </w:rPr>
        <w:t xml:space="preserve"> POUR LES PROJETS </w:t>
      </w:r>
      <w:r w:rsidR="00EA3DBD">
        <w:rPr>
          <w:rFonts w:ascii="Verdana" w:hAnsi="Verdana"/>
          <w:b/>
          <w:color w:val="000000"/>
          <w:sz w:val="12"/>
        </w:rPr>
        <w:t>D’INVESTISSEMENT EN IMMOBILISATIONS</w:t>
      </w:r>
    </w:p>
    <w:p w14:paraId="38F59EA0" w14:textId="77777777" w:rsidR="00B55ADC" w:rsidRDefault="00B55ADC" w:rsidP="00B55ADC">
      <w:pPr>
        <w:pStyle w:val="Title"/>
        <w:rPr>
          <w:color w:val="000000"/>
        </w:rPr>
      </w:pPr>
    </w:p>
    <w:p w14:paraId="106FD6DD" w14:textId="12935376" w:rsidR="00B55ADC" w:rsidRDefault="00B55ADC" w:rsidP="00B55ADC">
      <w:pPr>
        <w:pStyle w:val="Title"/>
        <w:rPr>
          <w:color w:val="000000"/>
        </w:rPr>
        <w:sectPr w:rsidR="00B55ADC" w:rsidSect="003F6A1B">
          <w:footerReference w:type="default" r:id="rId14"/>
          <w:pgSz w:w="12240" w:h="15840"/>
          <w:pgMar w:top="720" w:right="720" w:bottom="720" w:left="720" w:header="964" w:footer="964" w:gutter="0"/>
          <w:cols w:space="289"/>
          <w:docGrid w:linePitch="360"/>
        </w:sectPr>
      </w:pPr>
    </w:p>
    <w:bookmarkEnd w:id="1"/>
    <w:p w14:paraId="5E5476D6" w14:textId="4AA43EAA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292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bCs/>
          <w:color w:val="000000"/>
          <w:sz w:val="12"/>
          <w:szCs w:val="12"/>
        </w:rPr>
        <w:t>INTÉGRALITÉ DE L’ENTENTE</w:t>
      </w:r>
      <w:r w:rsidRPr="00CD1E62">
        <w:rPr>
          <w:color w:val="000000"/>
          <w:sz w:val="12"/>
          <w:szCs w:val="12"/>
        </w:rPr>
        <w:t>.</w:t>
      </w:r>
      <w:r w:rsidRPr="00B55ADC">
        <w:rPr>
          <w:color w:val="000000"/>
          <w:spacing w:val="-1"/>
          <w:sz w:val="12"/>
          <w:szCs w:val="12"/>
        </w:rPr>
        <w:t xml:space="preserve"> Les présentes </w:t>
      </w:r>
      <w:r w:rsidR="00CE4FA4">
        <w:rPr>
          <w:color w:val="000000"/>
          <w:spacing w:val="-1"/>
          <w:sz w:val="12"/>
          <w:szCs w:val="12"/>
        </w:rPr>
        <w:t>conditions générales</w:t>
      </w:r>
      <w:r w:rsidRPr="00B55ADC">
        <w:rPr>
          <w:color w:val="000000"/>
          <w:spacing w:val="-1"/>
          <w:sz w:val="12"/>
          <w:szCs w:val="12"/>
        </w:rPr>
        <w:t xml:space="preserve"> relatives à l</w:t>
      </w:r>
      <w:r>
        <w:rPr>
          <w:color w:val="000000"/>
          <w:spacing w:val="-1"/>
          <w:sz w:val="12"/>
          <w:szCs w:val="12"/>
        </w:rPr>
        <w:t>’</w:t>
      </w:r>
      <w:r w:rsidRPr="00B55ADC">
        <w:rPr>
          <w:color w:val="000000"/>
          <w:spacing w:val="-1"/>
          <w:sz w:val="12"/>
          <w:szCs w:val="12"/>
        </w:rPr>
        <w:t xml:space="preserve">achat de </w:t>
      </w:r>
      <w:r w:rsidR="009D01AC">
        <w:rPr>
          <w:color w:val="000000"/>
          <w:spacing w:val="-1"/>
          <w:sz w:val="12"/>
          <w:szCs w:val="12"/>
        </w:rPr>
        <w:t>b</w:t>
      </w:r>
      <w:r w:rsidR="00CE4FA4">
        <w:rPr>
          <w:color w:val="000000"/>
          <w:spacing w:val="-1"/>
          <w:sz w:val="12"/>
          <w:szCs w:val="12"/>
        </w:rPr>
        <w:t>iens</w:t>
      </w:r>
      <w:r w:rsidRPr="00B55ADC">
        <w:rPr>
          <w:color w:val="000000"/>
          <w:spacing w:val="-1"/>
          <w:sz w:val="12"/>
          <w:szCs w:val="12"/>
        </w:rPr>
        <w:t xml:space="preserve"> et de </w:t>
      </w:r>
      <w:r w:rsidR="009D01AC">
        <w:rPr>
          <w:color w:val="000000"/>
          <w:spacing w:val="-1"/>
          <w:sz w:val="12"/>
          <w:szCs w:val="12"/>
        </w:rPr>
        <w:t>s</w:t>
      </w:r>
      <w:r w:rsidR="00CE4FA4">
        <w:rPr>
          <w:color w:val="000000"/>
          <w:spacing w:val="-1"/>
          <w:sz w:val="12"/>
          <w:szCs w:val="12"/>
        </w:rPr>
        <w:t>ervices</w:t>
      </w:r>
      <w:r w:rsidRPr="00B55ADC">
        <w:rPr>
          <w:color w:val="000000"/>
          <w:spacing w:val="-1"/>
          <w:sz w:val="12"/>
          <w:szCs w:val="12"/>
        </w:rPr>
        <w:t xml:space="preserve"> </w:t>
      </w:r>
      <w:r w:rsidR="006704DA">
        <w:rPr>
          <w:color w:val="000000"/>
          <w:spacing w:val="-1"/>
          <w:sz w:val="12"/>
          <w:szCs w:val="12"/>
        </w:rPr>
        <w:t xml:space="preserve">pour les projets </w:t>
      </w:r>
      <w:r w:rsidR="004A5D4C">
        <w:rPr>
          <w:color w:val="000000"/>
          <w:spacing w:val="-1"/>
          <w:sz w:val="12"/>
          <w:szCs w:val="12"/>
        </w:rPr>
        <w:t xml:space="preserve">d’investissement en </w:t>
      </w:r>
      <w:r w:rsidR="006704DA">
        <w:rPr>
          <w:color w:val="000000"/>
          <w:spacing w:val="-1"/>
          <w:sz w:val="12"/>
          <w:szCs w:val="12"/>
        </w:rPr>
        <w:t>immobilisation</w:t>
      </w:r>
      <w:r w:rsidR="004A5D4C">
        <w:rPr>
          <w:color w:val="000000"/>
          <w:spacing w:val="-1"/>
          <w:sz w:val="12"/>
          <w:szCs w:val="12"/>
        </w:rPr>
        <w:t>s</w:t>
      </w:r>
      <w:r w:rsidR="006704DA">
        <w:rPr>
          <w:color w:val="000000"/>
          <w:spacing w:val="-1"/>
          <w:sz w:val="12"/>
          <w:szCs w:val="12"/>
        </w:rPr>
        <w:t xml:space="preserve"> </w:t>
      </w:r>
      <w:r w:rsidRPr="00B55ADC">
        <w:rPr>
          <w:color w:val="000000"/>
          <w:spacing w:val="-1"/>
          <w:sz w:val="12"/>
          <w:szCs w:val="12"/>
        </w:rPr>
        <w:t xml:space="preserve">(les </w:t>
      </w:r>
      <w:r>
        <w:rPr>
          <w:color w:val="000000"/>
          <w:spacing w:val="-1"/>
          <w:sz w:val="12"/>
          <w:szCs w:val="12"/>
        </w:rPr>
        <w:t>« </w:t>
      </w:r>
      <w:r w:rsidR="00501F0D">
        <w:rPr>
          <w:b/>
          <w:color w:val="000000"/>
          <w:sz w:val="12"/>
          <w:szCs w:val="12"/>
        </w:rPr>
        <w:t xml:space="preserve">Conditions générales </w:t>
      </w:r>
      <w:r>
        <w:rPr>
          <w:color w:val="000000"/>
          <w:sz w:val="12"/>
          <w:szCs w:val="12"/>
        </w:rPr>
        <w:t>»</w:t>
      </w:r>
      <w:r w:rsidRPr="00B55ADC">
        <w:rPr>
          <w:color w:val="000000"/>
          <w:sz w:val="12"/>
          <w:szCs w:val="12"/>
        </w:rPr>
        <w:t xml:space="preserve">) sont intégrées dans chaque </w:t>
      </w:r>
      <w:r w:rsidR="00566233">
        <w:rPr>
          <w:color w:val="000000"/>
          <w:sz w:val="12"/>
          <w:szCs w:val="12"/>
        </w:rPr>
        <w:t>bon de commande</w:t>
      </w:r>
      <w:r w:rsidRPr="00B55ADC">
        <w:rPr>
          <w:color w:val="000000"/>
          <w:sz w:val="12"/>
          <w:szCs w:val="12"/>
        </w:rPr>
        <w:t xml:space="preserve"> </w:t>
      </w:r>
      <w:r w:rsidR="006530F6">
        <w:rPr>
          <w:color w:val="000000"/>
          <w:sz w:val="12"/>
          <w:szCs w:val="12"/>
        </w:rPr>
        <w:t>conclu</w:t>
      </w:r>
      <w:r w:rsidR="009D01AC">
        <w:rPr>
          <w:color w:val="000000"/>
          <w:sz w:val="12"/>
          <w:szCs w:val="12"/>
        </w:rPr>
        <w:t xml:space="preserve"> par Interfor Corporation, </w:t>
      </w:r>
      <w:r w:rsidR="002A5C7A">
        <w:rPr>
          <w:color w:val="000000"/>
          <w:sz w:val="12"/>
          <w:szCs w:val="12"/>
        </w:rPr>
        <w:t>Interfor Est Ltée., EACOM Timber Corporation</w:t>
      </w:r>
      <w:r w:rsidR="0013469C">
        <w:rPr>
          <w:color w:val="000000"/>
          <w:sz w:val="12"/>
          <w:szCs w:val="12"/>
        </w:rPr>
        <w:t xml:space="preserve"> </w:t>
      </w:r>
      <w:r w:rsidR="002A5C7A" w:rsidRPr="00B55ADC">
        <w:rPr>
          <w:color w:val="000000"/>
          <w:sz w:val="12"/>
          <w:szCs w:val="12"/>
        </w:rPr>
        <w:t xml:space="preserve">ou Interfor U.S. Inc. </w:t>
      </w:r>
      <w:r w:rsidRPr="00B55ADC">
        <w:rPr>
          <w:color w:val="000000"/>
          <w:sz w:val="12"/>
          <w:szCs w:val="12"/>
        </w:rPr>
        <w:t xml:space="preserve">(chacune, </w:t>
      </w:r>
      <w:r>
        <w:rPr>
          <w:color w:val="000000"/>
          <w:sz w:val="12"/>
          <w:szCs w:val="12"/>
        </w:rPr>
        <w:t>« </w:t>
      </w:r>
      <w:r w:rsidRPr="00B55ADC">
        <w:rPr>
          <w:b/>
          <w:color w:val="000000"/>
          <w:sz w:val="12"/>
          <w:szCs w:val="12"/>
        </w:rPr>
        <w:t>Interfor</w:t>
      </w:r>
      <w:r>
        <w:rPr>
          <w:color w:val="000000"/>
          <w:sz w:val="12"/>
          <w:szCs w:val="12"/>
        </w:rPr>
        <w:t> »</w:t>
      </w:r>
      <w:r w:rsidRPr="00B55ADC">
        <w:rPr>
          <w:color w:val="000000"/>
          <w:sz w:val="12"/>
          <w:szCs w:val="12"/>
        </w:rPr>
        <w:t xml:space="preserve">) et le fournisseur indiqué dans le </w:t>
      </w:r>
      <w:r w:rsidR="00566233">
        <w:rPr>
          <w:color w:val="000000"/>
          <w:sz w:val="12"/>
          <w:szCs w:val="12"/>
        </w:rPr>
        <w:t>bon de commande</w:t>
      </w:r>
      <w:r w:rsidRPr="00B55ADC">
        <w:rPr>
          <w:color w:val="000000"/>
          <w:sz w:val="12"/>
          <w:szCs w:val="12"/>
        </w:rPr>
        <w:t xml:space="preserve"> (le </w:t>
      </w:r>
      <w:r>
        <w:rPr>
          <w:color w:val="000000"/>
          <w:sz w:val="12"/>
          <w:szCs w:val="12"/>
        </w:rPr>
        <w:t>« </w:t>
      </w:r>
      <w:r w:rsidR="00CE4FA4">
        <w:rPr>
          <w:b/>
          <w:color w:val="000000"/>
          <w:sz w:val="12"/>
          <w:szCs w:val="12"/>
        </w:rPr>
        <w:t>Fournisseur</w:t>
      </w:r>
      <w:r>
        <w:rPr>
          <w:color w:val="000000"/>
          <w:sz w:val="12"/>
          <w:szCs w:val="12"/>
        </w:rPr>
        <w:t> »</w:t>
      </w:r>
      <w:r w:rsidRPr="00B55ADC">
        <w:rPr>
          <w:color w:val="000000"/>
          <w:sz w:val="12"/>
          <w:szCs w:val="12"/>
        </w:rPr>
        <w:t xml:space="preserve">) et en font partie intégrante aux fins de la prestation de </w:t>
      </w:r>
      <w:r w:rsidR="00CE4FA4">
        <w:rPr>
          <w:color w:val="000000"/>
          <w:sz w:val="12"/>
          <w:szCs w:val="12"/>
        </w:rPr>
        <w:t>services</w:t>
      </w:r>
      <w:r w:rsidRPr="00B55ADC">
        <w:rPr>
          <w:color w:val="000000"/>
          <w:sz w:val="12"/>
          <w:szCs w:val="12"/>
        </w:rPr>
        <w:t xml:space="preserve"> par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(</w:t>
      </w:r>
      <w:r w:rsidR="009D01AC">
        <w:rPr>
          <w:color w:val="000000"/>
          <w:sz w:val="12"/>
          <w:szCs w:val="12"/>
        </w:rPr>
        <w:t xml:space="preserve">les </w:t>
      </w:r>
      <w:r>
        <w:rPr>
          <w:color w:val="000000"/>
          <w:sz w:val="12"/>
          <w:szCs w:val="12"/>
        </w:rPr>
        <w:t>« </w:t>
      </w:r>
      <w:r w:rsidR="00CE4FA4">
        <w:rPr>
          <w:b/>
          <w:color w:val="000000"/>
          <w:sz w:val="12"/>
          <w:szCs w:val="12"/>
        </w:rPr>
        <w:t>Services</w:t>
      </w:r>
      <w:r>
        <w:rPr>
          <w:color w:val="000000"/>
          <w:sz w:val="12"/>
          <w:szCs w:val="12"/>
        </w:rPr>
        <w:t> »</w:t>
      </w:r>
      <w:r w:rsidRPr="00B55ADC">
        <w:rPr>
          <w:color w:val="000000"/>
          <w:sz w:val="12"/>
          <w:szCs w:val="12"/>
        </w:rPr>
        <w:t>) et</w:t>
      </w:r>
      <w:r w:rsidR="00BE0DE5">
        <w:rPr>
          <w:color w:val="000000"/>
          <w:sz w:val="12"/>
          <w:szCs w:val="12"/>
        </w:rPr>
        <w:t>/</w:t>
      </w:r>
      <w:r w:rsidRPr="00B55ADC">
        <w:rPr>
          <w:color w:val="000000"/>
          <w:sz w:val="12"/>
          <w:szCs w:val="12"/>
        </w:rPr>
        <w:t xml:space="preserve">ou </w:t>
      </w:r>
      <w:r w:rsidR="009A0C2A">
        <w:rPr>
          <w:color w:val="000000"/>
          <w:sz w:val="12"/>
          <w:szCs w:val="12"/>
        </w:rPr>
        <w:t xml:space="preserve">de </w:t>
      </w:r>
      <w:r w:rsidRPr="00B55ADC">
        <w:rPr>
          <w:color w:val="000000"/>
          <w:sz w:val="12"/>
          <w:szCs w:val="12"/>
        </w:rPr>
        <w:t xml:space="preserve">la livraison par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à Interfor de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>, de matériaux,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équipement ou de livrables qui sont le produit des </w:t>
      </w:r>
      <w:r w:rsidR="00CE4FA4">
        <w:rPr>
          <w:color w:val="000000"/>
          <w:sz w:val="12"/>
          <w:szCs w:val="12"/>
        </w:rPr>
        <w:t>Services</w:t>
      </w:r>
      <w:r w:rsidRPr="00B55ADC">
        <w:rPr>
          <w:color w:val="000000"/>
          <w:sz w:val="12"/>
          <w:szCs w:val="12"/>
        </w:rPr>
        <w:t xml:space="preserve"> (collectivement, les </w:t>
      </w:r>
      <w:r>
        <w:rPr>
          <w:color w:val="000000"/>
          <w:sz w:val="12"/>
          <w:szCs w:val="12"/>
        </w:rPr>
        <w:t>« </w:t>
      </w:r>
      <w:r w:rsidR="00CE4FA4">
        <w:rPr>
          <w:b/>
          <w:color w:val="000000"/>
          <w:sz w:val="12"/>
          <w:szCs w:val="12"/>
        </w:rPr>
        <w:t>Biens</w:t>
      </w:r>
      <w:r>
        <w:rPr>
          <w:color w:val="000000"/>
          <w:sz w:val="12"/>
          <w:szCs w:val="12"/>
        </w:rPr>
        <w:t> »</w:t>
      </w:r>
      <w:r w:rsidRPr="00B55ADC">
        <w:rPr>
          <w:color w:val="000000"/>
          <w:sz w:val="12"/>
          <w:szCs w:val="12"/>
        </w:rPr>
        <w:t xml:space="preserve"> et, avec les </w:t>
      </w:r>
      <w:r w:rsidR="00CE4FA4">
        <w:rPr>
          <w:color w:val="000000"/>
          <w:sz w:val="12"/>
          <w:szCs w:val="12"/>
        </w:rPr>
        <w:t>Services</w:t>
      </w:r>
      <w:r w:rsidRPr="00B55ADC">
        <w:rPr>
          <w:color w:val="000000"/>
          <w:sz w:val="12"/>
          <w:szCs w:val="12"/>
        </w:rPr>
        <w:t xml:space="preserve">, les </w:t>
      </w:r>
      <w:r>
        <w:rPr>
          <w:color w:val="000000"/>
          <w:sz w:val="12"/>
          <w:szCs w:val="12"/>
        </w:rPr>
        <w:t>« </w:t>
      </w:r>
      <w:r w:rsidR="00CE4FA4">
        <w:rPr>
          <w:b/>
          <w:bCs/>
          <w:color w:val="000000"/>
          <w:sz w:val="12"/>
          <w:szCs w:val="12"/>
        </w:rPr>
        <w:t>Biens/Services</w:t>
      </w:r>
      <w:r>
        <w:rPr>
          <w:color w:val="000000"/>
          <w:sz w:val="12"/>
          <w:szCs w:val="12"/>
        </w:rPr>
        <w:t>»</w:t>
      </w:r>
      <w:r w:rsidRPr="00B55ADC">
        <w:rPr>
          <w:color w:val="000000"/>
          <w:sz w:val="12"/>
          <w:szCs w:val="12"/>
        </w:rPr>
        <w:t xml:space="preserve">). Le bon de commande et la version des présentes </w:t>
      </w:r>
      <w:r w:rsidR="00501F0D">
        <w:rPr>
          <w:color w:val="000000"/>
          <w:sz w:val="12"/>
          <w:szCs w:val="12"/>
        </w:rPr>
        <w:t xml:space="preserve">Conditions générales </w:t>
      </w:r>
      <w:r w:rsidRPr="00B55ADC">
        <w:rPr>
          <w:color w:val="000000"/>
          <w:sz w:val="12"/>
          <w:szCs w:val="12"/>
        </w:rPr>
        <w:t>qui sont en vigueur au moment de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acceptation ou de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acceptation réputée du bon de commande par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(collectivement, l</w:t>
      </w:r>
      <w:r w:rsidR="009F1E00">
        <w:rPr>
          <w:color w:val="000000"/>
          <w:sz w:val="12"/>
          <w:szCs w:val="12"/>
        </w:rPr>
        <w:t>a</w:t>
      </w:r>
      <w:r w:rsidRPr="00B55ADC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« </w:t>
      </w:r>
      <w:r w:rsidR="006E7785">
        <w:rPr>
          <w:b/>
          <w:color w:val="000000"/>
          <w:sz w:val="12"/>
          <w:szCs w:val="12"/>
        </w:rPr>
        <w:t>Convention</w:t>
      </w:r>
      <w:r>
        <w:rPr>
          <w:color w:val="000000"/>
          <w:sz w:val="12"/>
          <w:szCs w:val="12"/>
        </w:rPr>
        <w:t> »</w:t>
      </w:r>
      <w:r w:rsidRPr="00B55ADC">
        <w:rPr>
          <w:color w:val="000000"/>
          <w:sz w:val="12"/>
          <w:szCs w:val="12"/>
        </w:rPr>
        <w:t>) constituent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entente intégrale entre Interfor et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quant à la livraison ou à la prestation par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à Interfor des </w:t>
      </w:r>
      <w:r w:rsidR="00CE4FA4">
        <w:rPr>
          <w:color w:val="000000"/>
          <w:sz w:val="12"/>
          <w:szCs w:val="12"/>
        </w:rPr>
        <w:t xml:space="preserve">Biens/Services </w:t>
      </w:r>
      <w:r w:rsidRPr="00B55ADC">
        <w:rPr>
          <w:color w:val="000000"/>
          <w:sz w:val="12"/>
          <w:szCs w:val="12"/>
        </w:rPr>
        <w:t xml:space="preserve">décrits dans le bon de commande, et remplacent tous les devis, </w:t>
      </w:r>
      <w:r w:rsidR="006B4639">
        <w:rPr>
          <w:color w:val="000000"/>
          <w:sz w:val="12"/>
          <w:szCs w:val="12"/>
        </w:rPr>
        <w:t xml:space="preserve">soumissions, </w:t>
      </w:r>
      <w:r w:rsidRPr="00B55ADC">
        <w:rPr>
          <w:color w:val="000000"/>
          <w:sz w:val="12"/>
          <w:szCs w:val="12"/>
        </w:rPr>
        <w:t>propositions, accords, communications, attentes, négociations, déclarations ou ententes antérieurs, verba</w:t>
      </w:r>
      <w:r w:rsidR="006704DA">
        <w:rPr>
          <w:color w:val="000000"/>
          <w:sz w:val="12"/>
          <w:szCs w:val="12"/>
        </w:rPr>
        <w:t>les</w:t>
      </w:r>
      <w:r w:rsidRPr="00B55ADC">
        <w:rPr>
          <w:color w:val="000000"/>
          <w:sz w:val="12"/>
          <w:szCs w:val="12"/>
        </w:rPr>
        <w:t xml:space="preserve"> ou</w:t>
      </w:r>
      <w:r w:rsidR="00EB5CBE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>écrit</w:t>
      </w:r>
      <w:r w:rsidR="006704DA">
        <w:rPr>
          <w:color w:val="000000"/>
          <w:sz w:val="12"/>
          <w:szCs w:val="12"/>
        </w:rPr>
        <w:t>e</w:t>
      </w:r>
      <w:r w:rsidR="00EB5CBE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>, expr</w:t>
      </w:r>
      <w:r w:rsidR="006704DA">
        <w:rPr>
          <w:color w:val="000000"/>
          <w:sz w:val="12"/>
          <w:szCs w:val="12"/>
        </w:rPr>
        <w:t>esses</w:t>
      </w:r>
      <w:r w:rsidRPr="00B55ADC">
        <w:rPr>
          <w:color w:val="000000"/>
          <w:sz w:val="12"/>
          <w:szCs w:val="12"/>
        </w:rPr>
        <w:t xml:space="preserve"> ou implicite</w:t>
      </w:r>
      <w:r w:rsidR="00EB5CBE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>, prévu</w:t>
      </w:r>
      <w:r w:rsidR="006704DA">
        <w:rPr>
          <w:color w:val="000000"/>
          <w:sz w:val="12"/>
          <w:szCs w:val="12"/>
        </w:rPr>
        <w:t>e</w:t>
      </w:r>
      <w:r w:rsidR="00EB5CBE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par la loi ou autrement, à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égard de ces </w:t>
      </w:r>
      <w:r w:rsidR="00CE4FA4">
        <w:rPr>
          <w:color w:val="000000"/>
          <w:sz w:val="12"/>
          <w:szCs w:val="12"/>
        </w:rPr>
        <w:t>Biens</w:t>
      </w:r>
      <w:r w:rsidR="00EB5CBE">
        <w:rPr>
          <w:color w:val="000000"/>
          <w:sz w:val="12"/>
          <w:szCs w:val="12"/>
        </w:rPr>
        <w:t>/</w:t>
      </w:r>
      <w:r w:rsidR="00CE4FA4">
        <w:rPr>
          <w:color w:val="000000"/>
          <w:sz w:val="12"/>
          <w:szCs w:val="12"/>
        </w:rPr>
        <w:t>Services</w:t>
      </w:r>
      <w:r w:rsidRPr="00B55ADC">
        <w:rPr>
          <w:color w:val="000000"/>
          <w:sz w:val="12"/>
          <w:szCs w:val="12"/>
        </w:rPr>
        <w:t xml:space="preserve">. Les présentes </w:t>
      </w:r>
      <w:r w:rsidR="00501F0D">
        <w:rPr>
          <w:color w:val="000000"/>
          <w:sz w:val="12"/>
          <w:szCs w:val="12"/>
        </w:rPr>
        <w:t xml:space="preserve">Conditions générales </w:t>
      </w:r>
      <w:r w:rsidRPr="00B55ADC">
        <w:rPr>
          <w:color w:val="000000"/>
          <w:sz w:val="12"/>
          <w:szCs w:val="12"/>
        </w:rPr>
        <w:t>peuvent être consultées sur le site Web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Interfor à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adresse </w:t>
      </w:r>
      <w:hyperlink r:id="rId15" w:history="1">
        <w:r w:rsidR="009D01AC" w:rsidRPr="009D01AC">
          <w:rPr>
            <w:rStyle w:val="Hyperlink"/>
            <w:sz w:val="12"/>
            <w:szCs w:val="12"/>
          </w:rPr>
          <w:t>https://interfor.com/terms-and-conditions/</w:t>
        </w:r>
      </w:hyperlink>
      <w:r w:rsidR="009D01AC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 xml:space="preserve">et elles peuvent être modifiées par Interfor à tout moment en </w:t>
      </w:r>
      <w:r w:rsidR="00F42202">
        <w:rPr>
          <w:color w:val="000000"/>
          <w:sz w:val="12"/>
          <w:szCs w:val="12"/>
        </w:rPr>
        <w:t>communiquant</w:t>
      </w:r>
      <w:r w:rsidRPr="00B55ADC">
        <w:rPr>
          <w:color w:val="000000"/>
          <w:sz w:val="12"/>
          <w:szCs w:val="12"/>
        </w:rPr>
        <w:t xml:space="preserve"> ces modifications </w:t>
      </w:r>
      <w:r w:rsidR="00F42202">
        <w:rPr>
          <w:color w:val="000000"/>
          <w:sz w:val="12"/>
          <w:szCs w:val="12"/>
        </w:rPr>
        <w:t>sur le</w:t>
      </w:r>
      <w:r w:rsidRPr="00B55ADC">
        <w:rPr>
          <w:color w:val="000000"/>
          <w:sz w:val="12"/>
          <w:szCs w:val="12"/>
        </w:rPr>
        <w:t xml:space="preserve"> site Web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Interfor. Un </w:t>
      </w:r>
      <w:r w:rsidR="00566233">
        <w:rPr>
          <w:color w:val="000000"/>
          <w:sz w:val="12"/>
          <w:szCs w:val="12"/>
        </w:rPr>
        <w:t>bon de commande</w:t>
      </w:r>
      <w:r w:rsidRPr="00B55ADC">
        <w:rPr>
          <w:color w:val="000000"/>
          <w:sz w:val="12"/>
          <w:szCs w:val="12"/>
        </w:rPr>
        <w:t xml:space="preserve"> ne peut être modifié que par un document écrit signé par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et Interfor. Sauf </w:t>
      </w:r>
      <w:r w:rsidR="00B21C64">
        <w:rPr>
          <w:color w:val="000000"/>
          <w:sz w:val="12"/>
          <w:szCs w:val="12"/>
        </w:rPr>
        <w:t>dans la mesure nécessaire pour</w:t>
      </w:r>
      <w:r w:rsidRPr="00B55ADC">
        <w:rPr>
          <w:color w:val="000000"/>
          <w:sz w:val="12"/>
          <w:szCs w:val="12"/>
        </w:rPr>
        <w:t xml:space="preserve"> préciser la nature ou la description des </w:t>
      </w:r>
      <w:r w:rsidR="00CE4FA4">
        <w:rPr>
          <w:color w:val="000000"/>
          <w:sz w:val="12"/>
          <w:szCs w:val="12"/>
        </w:rPr>
        <w:t xml:space="preserve">Biens/Services </w:t>
      </w:r>
      <w:r w:rsidRPr="00B55ADC">
        <w:rPr>
          <w:color w:val="000000"/>
          <w:sz w:val="12"/>
          <w:szCs w:val="12"/>
        </w:rPr>
        <w:t xml:space="preserve">devant être fournis et seulement dans la mesure où </w:t>
      </w:r>
      <w:r w:rsidR="00214466">
        <w:rPr>
          <w:color w:val="000000"/>
          <w:sz w:val="12"/>
          <w:szCs w:val="12"/>
        </w:rPr>
        <w:t>elle</w:t>
      </w:r>
      <w:r w:rsidRPr="00B55ADC">
        <w:rPr>
          <w:color w:val="000000"/>
          <w:sz w:val="12"/>
          <w:szCs w:val="12"/>
        </w:rPr>
        <w:t>s sont co</w:t>
      </w:r>
      <w:r w:rsidR="007C49BF">
        <w:rPr>
          <w:color w:val="000000"/>
          <w:sz w:val="12"/>
          <w:szCs w:val="12"/>
        </w:rPr>
        <w:t>mpatibles avec les</w:t>
      </w:r>
      <w:r w:rsidRPr="00B55ADC">
        <w:rPr>
          <w:color w:val="000000"/>
          <w:sz w:val="12"/>
          <w:szCs w:val="12"/>
        </w:rPr>
        <w:t xml:space="preserve"> modalités de la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>,</w:t>
      </w:r>
      <w:r w:rsidR="009C1824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>les</w:t>
      </w:r>
      <w:r w:rsidR="009C1824">
        <w:rPr>
          <w:color w:val="000000"/>
          <w:sz w:val="12"/>
          <w:szCs w:val="12"/>
        </w:rPr>
        <w:t xml:space="preserve"> </w:t>
      </w:r>
      <w:r w:rsidR="00C91D5C">
        <w:rPr>
          <w:color w:val="000000"/>
          <w:sz w:val="12"/>
          <w:szCs w:val="12"/>
        </w:rPr>
        <w:t xml:space="preserve">modalités et </w:t>
      </w:r>
      <w:r w:rsidRPr="00B55ADC">
        <w:rPr>
          <w:color w:val="000000"/>
          <w:sz w:val="12"/>
          <w:szCs w:val="12"/>
        </w:rPr>
        <w:t>conditions d</w:t>
      </w:r>
      <w:r w:rsidR="001D0B77">
        <w:rPr>
          <w:color w:val="000000"/>
          <w:sz w:val="12"/>
          <w:szCs w:val="12"/>
        </w:rPr>
        <w:t>’un devis</w:t>
      </w:r>
      <w:r w:rsidRPr="00B55ADC">
        <w:rPr>
          <w:color w:val="000000"/>
          <w:sz w:val="12"/>
          <w:szCs w:val="12"/>
        </w:rPr>
        <w:t>, d</w:t>
      </w:r>
      <w:r w:rsidR="006B4639">
        <w:rPr>
          <w:color w:val="000000"/>
          <w:sz w:val="12"/>
          <w:szCs w:val="12"/>
        </w:rPr>
        <w:t>’une soumission</w:t>
      </w:r>
      <w:r w:rsidRPr="00B55ADC">
        <w:rPr>
          <w:color w:val="000000"/>
          <w:sz w:val="12"/>
          <w:szCs w:val="12"/>
        </w:rPr>
        <w:t xml:space="preserve"> </w:t>
      </w:r>
      <w:r w:rsidR="00734B40">
        <w:rPr>
          <w:color w:val="000000"/>
          <w:sz w:val="12"/>
          <w:szCs w:val="12"/>
        </w:rPr>
        <w:t xml:space="preserve">d’une </w:t>
      </w:r>
      <w:r w:rsidRPr="00B55ADC">
        <w:rPr>
          <w:color w:val="000000"/>
          <w:sz w:val="12"/>
          <w:szCs w:val="12"/>
        </w:rPr>
        <w:t xml:space="preserve">proposition ou de toute autre correspondance du </w:t>
      </w:r>
      <w:r w:rsidR="00CE4FA4">
        <w:rPr>
          <w:color w:val="000000"/>
          <w:sz w:val="12"/>
          <w:szCs w:val="12"/>
        </w:rPr>
        <w:t>Fournisseur</w:t>
      </w:r>
      <w:r w:rsidR="00734B40">
        <w:rPr>
          <w:color w:val="000000"/>
          <w:sz w:val="12"/>
          <w:szCs w:val="12"/>
        </w:rPr>
        <w:t xml:space="preserve"> sont par les présentes</w:t>
      </w:r>
      <w:r w:rsidR="009C1824">
        <w:rPr>
          <w:color w:val="000000"/>
          <w:sz w:val="12"/>
          <w:szCs w:val="12"/>
        </w:rPr>
        <w:t xml:space="preserve"> refusées et rejetées par Interfor</w:t>
      </w:r>
      <w:r w:rsidRPr="00B55ADC">
        <w:rPr>
          <w:color w:val="000000"/>
          <w:sz w:val="12"/>
          <w:szCs w:val="12"/>
        </w:rPr>
        <w:t>, sans exigence d</w:t>
      </w:r>
      <w:r>
        <w:rPr>
          <w:color w:val="000000"/>
          <w:sz w:val="12"/>
          <w:szCs w:val="12"/>
        </w:rPr>
        <w:t>’</w:t>
      </w:r>
      <w:r w:rsidR="00FA56E2">
        <w:rPr>
          <w:color w:val="000000"/>
          <w:sz w:val="12"/>
          <w:szCs w:val="12"/>
        </w:rPr>
        <w:t xml:space="preserve">un autre </w:t>
      </w:r>
      <w:r w:rsidRPr="00B55ADC">
        <w:rPr>
          <w:color w:val="000000"/>
          <w:sz w:val="12"/>
          <w:szCs w:val="12"/>
        </w:rPr>
        <w:t xml:space="preserve">avis de </w:t>
      </w:r>
      <w:r w:rsidR="00FA56E2">
        <w:rPr>
          <w:color w:val="000000"/>
          <w:sz w:val="12"/>
          <w:szCs w:val="12"/>
        </w:rPr>
        <w:t xml:space="preserve">ce </w:t>
      </w:r>
      <w:r w:rsidRPr="00B55ADC">
        <w:rPr>
          <w:color w:val="000000"/>
          <w:sz w:val="12"/>
          <w:szCs w:val="12"/>
        </w:rPr>
        <w:t>refus et rejet, et ni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acceptation par Interfor de </w:t>
      </w:r>
      <w:r w:rsidR="00CE4FA4">
        <w:rPr>
          <w:color w:val="000000"/>
          <w:sz w:val="12"/>
          <w:szCs w:val="12"/>
        </w:rPr>
        <w:t xml:space="preserve">Biens/Services </w:t>
      </w:r>
      <w:r w:rsidRPr="00B55ADC">
        <w:rPr>
          <w:color w:val="000000"/>
          <w:sz w:val="12"/>
          <w:szCs w:val="12"/>
        </w:rPr>
        <w:t xml:space="preserve">ni le paiement </w:t>
      </w:r>
      <w:r w:rsidR="003A1E77">
        <w:rPr>
          <w:color w:val="000000"/>
          <w:sz w:val="12"/>
          <w:szCs w:val="12"/>
        </w:rPr>
        <w:t>par Interfor pour ceux-ci</w:t>
      </w:r>
      <w:r w:rsidRPr="00B55ADC">
        <w:rPr>
          <w:color w:val="000000"/>
          <w:sz w:val="12"/>
          <w:szCs w:val="12"/>
        </w:rPr>
        <w:t xml:space="preserve"> ne constitue une renonciation par Interfor des modalités et conditions de la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 ou </w:t>
      </w:r>
      <w:r w:rsidR="00BE69A6">
        <w:rPr>
          <w:color w:val="000000"/>
          <w:sz w:val="12"/>
          <w:szCs w:val="12"/>
        </w:rPr>
        <w:t xml:space="preserve">un consentement par </w:t>
      </w:r>
      <w:r w:rsidRPr="00B55ADC">
        <w:rPr>
          <w:color w:val="000000"/>
          <w:sz w:val="12"/>
          <w:szCs w:val="12"/>
        </w:rPr>
        <w:t>Interfor à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autres </w:t>
      </w:r>
      <w:r w:rsidR="00BE69A6">
        <w:rPr>
          <w:color w:val="000000"/>
          <w:sz w:val="12"/>
          <w:szCs w:val="12"/>
        </w:rPr>
        <w:t xml:space="preserve">modalités </w:t>
      </w:r>
      <w:r w:rsidR="00534F5B">
        <w:rPr>
          <w:color w:val="000000"/>
          <w:sz w:val="12"/>
          <w:szCs w:val="12"/>
        </w:rPr>
        <w:t>ou</w:t>
      </w:r>
      <w:r w:rsidR="00BE69A6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>conditions.</w:t>
      </w:r>
    </w:p>
    <w:p w14:paraId="69CDF7F0" w14:textId="4A9760E0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292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PRIX, FACTURATION ET PAIEMENT</w:t>
      </w:r>
      <w:r w:rsidRPr="00B55ADC">
        <w:rPr>
          <w:color w:val="000000"/>
          <w:sz w:val="12"/>
          <w:szCs w:val="12"/>
        </w:rPr>
        <w:t xml:space="preserve">. Interfor doit payer au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le prix ou les taux indiqués dans la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. Tous les renvois </w:t>
      </w:r>
      <w:r w:rsidR="00036139">
        <w:rPr>
          <w:color w:val="000000"/>
          <w:sz w:val="12"/>
          <w:szCs w:val="12"/>
        </w:rPr>
        <w:t>au numéraire</w:t>
      </w:r>
      <w:r w:rsidRPr="00B55ADC">
        <w:rPr>
          <w:color w:val="000000"/>
          <w:sz w:val="12"/>
          <w:szCs w:val="12"/>
        </w:rPr>
        <w:t xml:space="preserve"> dans la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 s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entendent de la monnaie légale du Canada où des </w:t>
      </w:r>
      <w:r w:rsidR="00CE4FA4">
        <w:rPr>
          <w:color w:val="000000"/>
          <w:sz w:val="12"/>
          <w:szCs w:val="12"/>
        </w:rPr>
        <w:t xml:space="preserve">Biens/Services </w:t>
      </w:r>
      <w:r w:rsidRPr="00B55ADC">
        <w:rPr>
          <w:color w:val="000000"/>
          <w:sz w:val="12"/>
          <w:szCs w:val="12"/>
        </w:rPr>
        <w:t>sont fournis à Interfor Corporation</w:t>
      </w:r>
      <w:r w:rsidR="0051677F">
        <w:rPr>
          <w:color w:val="000000"/>
          <w:sz w:val="12"/>
          <w:szCs w:val="12"/>
        </w:rPr>
        <w:t>,</w:t>
      </w:r>
      <w:r w:rsidR="009D01AC">
        <w:rPr>
          <w:color w:val="000000"/>
          <w:sz w:val="12"/>
          <w:szCs w:val="12"/>
        </w:rPr>
        <w:t xml:space="preserve"> </w:t>
      </w:r>
      <w:r w:rsidR="0051677F">
        <w:rPr>
          <w:color w:val="000000"/>
          <w:sz w:val="12"/>
          <w:szCs w:val="12"/>
        </w:rPr>
        <w:t xml:space="preserve">Interfor Est Ltée. </w:t>
      </w:r>
      <w:proofErr w:type="gramStart"/>
      <w:r w:rsidR="0051677F">
        <w:rPr>
          <w:color w:val="000000"/>
          <w:sz w:val="12"/>
          <w:szCs w:val="12"/>
        </w:rPr>
        <w:t>ou</w:t>
      </w:r>
      <w:proofErr w:type="gramEnd"/>
      <w:r w:rsidR="0051677F">
        <w:rPr>
          <w:color w:val="000000"/>
          <w:sz w:val="12"/>
          <w:szCs w:val="12"/>
        </w:rPr>
        <w:t xml:space="preserve"> EACOM Timber Corporation</w:t>
      </w:r>
      <w:r w:rsidR="0013469C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 xml:space="preserve">et des États-Unis où des </w:t>
      </w:r>
      <w:r w:rsidR="00CE4FA4">
        <w:rPr>
          <w:color w:val="000000"/>
          <w:sz w:val="12"/>
          <w:szCs w:val="12"/>
        </w:rPr>
        <w:t xml:space="preserve">Biens/Services </w:t>
      </w:r>
      <w:r w:rsidRPr="00B55ADC">
        <w:rPr>
          <w:color w:val="000000"/>
          <w:sz w:val="12"/>
          <w:szCs w:val="12"/>
        </w:rPr>
        <w:t>sont fournis à Interfor</w:t>
      </w:r>
      <w:r w:rsidR="00FC215C">
        <w:rPr>
          <w:color w:val="000000"/>
          <w:sz w:val="12"/>
          <w:szCs w:val="12"/>
        </w:rPr>
        <w:t xml:space="preserve"> U.S. Inc</w:t>
      </w:r>
      <w:r w:rsidRPr="00B55ADC">
        <w:rPr>
          <w:color w:val="000000"/>
          <w:sz w:val="12"/>
          <w:szCs w:val="12"/>
        </w:rPr>
        <w:t xml:space="preserve">. Les prix du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incluent tous les </w:t>
      </w:r>
      <w:r w:rsidR="0052358C">
        <w:rPr>
          <w:color w:val="000000"/>
          <w:sz w:val="12"/>
          <w:szCs w:val="12"/>
        </w:rPr>
        <w:t xml:space="preserve">impôts, les </w:t>
      </w:r>
      <w:r w:rsidRPr="00B55ADC">
        <w:rPr>
          <w:color w:val="000000"/>
          <w:sz w:val="12"/>
          <w:szCs w:val="12"/>
        </w:rPr>
        <w:t>taxes, les frais de courtage, les tarifs, les droits, les cotisations et les droits de licence qu</w:t>
      </w:r>
      <w:r w:rsidR="00DE5C01">
        <w:rPr>
          <w:color w:val="000000"/>
          <w:sz w:val="12"/>
          <w:szCs w:val="12"/>
        </w:rPr>
        <w:t>i sont payables par le</w:t>
      </w:r>
      <w:r w:rsidRPr="00B55ADC">
        <w:rPr>
          <w:color w:val="000000"/>
          <w:sz w:val="12"/>
          <w:szCs w:val="12"/>
        </w:rPr>
        <w:t xml:space="preserve">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en vertu des lois applicables ou qu</w:t>
      </w:r>
      <w:r w:rsidR="00105C60">
        <w:rPr>
          <w:color w:val="000000"/>
          <w:sz w:val="12"/>
          <w:szCs w:val="12"/>
        </w:rPr>
        <w:t xml:space="preserve">i sont imposés, </w:t>
      </w:r>
      <w:r w:rsidR="00CB36AB">
        <w:rPr>
          <w:color w:val="000000"/>
          <w:sz w:val="12"/>
          <w:szCs w:val="12"/>
        </w:rPr>
        <w:t>prélevés,</w:t>
      </w:r>
      <w:r w:rsidR="00A60FE7">
        <w:rPr>
          <w:color w:val="000000"/>
          <w:sz w:val="12"/>
          <w:szCs w:val="12"/>
        </w:rPr>
        <w:t xml:space="preserve"> établis</w:t>
      </w:r>
      <w:r w:rsidR="00CE6DAB">
        <w:rPr>
          <w:color w:val="000000"/>
          <w:sz w:val="12"/>
          <w:szCs w:val="12"/>
        </w:rPr>
        <w:t>, facturés</w:t>
      </w:r>
      <w:r w:rsidR="00973EC6">
        <w:rPr>
          <w:color w:val="000000"/>
          <w:sz w:val="12"/>
          <w:szCs w:val="12"/>
        </w:rPr>
        <w:t>, imputés</w:t>
      </w:r>
      <w:r w:rsidR="00FA18CE">
        <w:rPr>
          <w:color w:val="000000"/>
          <w:sz w:val="12"/>
          <w:szCs w:val="12"/>
        </w:rPr>
        <w:t xml:space="preserve"> ou exigés</w:t>
      </w:r>
      <w:r w:rsidRPr="00B55ADC">
        <w:rPr>
          <w:color w:val="000000"/>
          <w:sz w:val="12"/>
          <w:szCs w:val="12"/>
        </w:rPr>
        <w:t xml:space="preserve"> par une autorité gouvernementale, publique, judiciaire ou quasi judiciaire ou un organisme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autoréglementation (collectivement, </w:t>
      </w:r>
      <w:r>
        <w:rPr>
          <w:color w:val="000000"/>
          <w:sz w:val="12"/>
          <w:szCs w:val="12"/>
        </w:rPr>
        <w:t>« </w:t>
      </w:r>
      <w:r w:rsidR="00501F0D">
        <w:rPr>
          <w:b/>
          <w:bCs/>
          <w:color w:val="000000"/>
          <w:sz w:val="12"/>
          <w:szCs w:val="12"/>
        </w:rPr>
        <w:t xml:space="preserve">Autorité gouvernementale </w:t>
      </w:r>
      <w:r>
        <w:rPr>
          <w:color w:val="000000"/>
          <w:sz w:val="12"/>
          <w:szCs w:val="12"/>
        </w:rPr>
        <w:t>»</w:t>
      </w:r>
      <w:r w:rsidRPr="00B55ADC">
        <w:rPr>
          <w:color w:val="000000"/>
          <w:sz w:val="12"/>
          <w:szCs w:val="12"/>
        </w:rPr>
        <w:t>) à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égard de la vente, de la propriété, de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entreposage, </w:t>
      </w:r>
      <w:r w:rsidR="00795099">
        <w:rPr>
          <w:color w:val="000000"/>
          <w:sz w:val="12"/>
          <w:szCs w:val="12"/>
        </w:rPr>
        <w:t xml:space="preserve">de la livraison, </w:t>
      </w:r>
      <w:r w:rsidRPr="00B55ADC">
        <w:rPr>
          <w:color w:val="000000"/>
          <w:sz w:val="12"/>
          <w:szCs w:val="12"/>
        </w:rPr>
        <w:t>du transport, de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exportation ou de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importation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et </w:t>
      </w:r>
      <w:r w:rsidR="00D75EEC">
        <w:rPr>
          <w:color w:val="000000"/>
          <w:sz w:val="12"/>
          <w:szCs w:val="12"/>
        </w:rPr>
        <w:t xml:space="preserve">de la prestation </w:t>
      </w:r>
      <w:r w:rsidRPr="00B55ADC">
        <w:rPr>
          <w:color w:val="000000"/>
          <w:sz w:val="12"/>
          <w:szCs w:val="12"/>
        </w:rPr>
        <w:t xml:space="preserve">des </w:t>
      </w:r>
      <w:r w:rsidR="00CE4FA4">
        <w:rPr>
          <w:color w:val="000000"/>
          <w:sz w:val="12"/>
          <w:szCs w:val="12"/>
        </w:rPr>
        <w:t>Services</w:t>
      </w:r>
      <w:r w:rsidRPr="00B55ADC">
        <w:rPr>
          <w:color w:val="000000"/>
          <w:sz w:val="12"/>
          <w:szCs w:val="12"/>
        </w:rPr>
        <w:t>. Les taxes</w:t>
      </w:r>
      <w:r w:rsidR="00D75EEC">
        <w:rPr>
          <w:color w:val="000000"/>
          <w:sz w:val="12"/>
          <w:szCs w:val="12"/>
        </w:rPr>
        <w:t xml:space="preserve"> ou impôts</w:t>
      </w:r>
      <w:r w:rsidRPr="00B55ADC">
        <w:rPr>
          <w:color w:val="000000"/>
          <w:sz w:val="12"/>
          <w:szCs w:val="12"/>
        </w:rPr>
        <w:t>, le cas échéant, sont indiqués séparément sur toute facture. À moins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indication contraire dans le </w:t>
      </w:r>
      <w:r w:rsidR="00566233">
        <w:rPr>
          <w:color w:val="000000"/>
          <w:sz w:val="12"/>
          <w:szCs w:val="12"/>
        </w:rPr>
        <w:t>bon de commande</w:t>
      </w:r>
      <w:r w:rsidRPr="00B55ADC">
        <w:rPr>
          <w:color w:val="000000"/>
          <w:sz w:val="12"/>
          <w:szCs w:val="12"/>
        </w:rPr>
        <w:t>, les paiements sont effectués dans les 30 jours de la réception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une facture. Au gré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Interfor, le paiement peut être subordonné à la réception de libérations</w:t>
      </w:r>
      <w:r w:rsidR="0009149F">
        <w:rPr>
          <w:color w:val="000000"/>
          <w:sz w:val="12"/>
          <w:szCs w:val="12"/>
        </w:rPr>
        <w:t>, décharges</w:t>
      </w:r>
      <w:r w:rsidR="00C36423">
        <w:rPr>
          <w:color w:val="000000"/>
          <w:sz w:val="12"/>
          <w:szCs w:val="12"/>
        </w:rPr>
        <w:t>, mainlevées</w:t>
      </w:r>
      <w:r w:rsidR="00EF04DB">
        <w:rPr>
          <w:color w:val="000000"/>
          <w:sz w:val="12"/>
          <w:szCs w:val="12"/>
        </w:rPr>
        <w:t xml:space="preserve"> et quittances</w:t>
      </w:r>
      <w:r w:rsidRPr="00B55ADC">
        <w:rPr>
          <w:color w:val="000000"/>
          <w:sz w:val="12"/>
          <w:szCs w:val="12"/>
        </w:rPr>
        <w:t xml:space="preserve"> de privilèges</w:t>
      </w:r>
      <w:r w:rsidR="00EF04DB">
        <w:rPr>
          <w:color w:val="000000"/>
          <w:sz w:val="12"/>
          <w:szCs w:val="12"/>
        </w:rPr>
        <w:t>, priorités, hypothèques</w:t>
      </w:r>
      <w:r w:rsidR="00C36423">
        <w:rPr>
          <w:color w:val="000000"/>
          <w:sz w:val="12"/>
          <w:szCs w:val="12"/>
        </w:rPr>
        <w:t>, droits de rétention</w:t>
      </w:r>
      <w:r w:rsidRPr="00B55ADC">
        <w:rPr>
          <w:color w:val="000000"/>
          <w:sz w:val="12"/>
          <w:szCs w:val="12"/>
        </w:rPr>
        <w:t xml:space="preserve"> et de réclamations du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>.</w:t>
      </w:r>
    </w:p>
    <w:p w14:paraId="28D2D855" w14:textId="117232C9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292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 xml:space="preserve"> </w:t>
      </w:r>
      <w:r w:rsidR="007E507A">
        <w:rPr>
          <w:b/>
          <w:color w:val="000000"/>
          <w:sz w:val="12"/>
          <w:szCs w:val="12"/>
        </w:rPr>
        <w:t xml:space="preserve">TAXES ET </w:t>
      </w:r>
      <w:r w:rsidR="00D66FF7">
        <w:rPr>
          <w:b/>
          <w:color w:val="000000"/>
          <w:sz w:val="12"/>
          <w:szCs w:val="12"/>
        </w:rPr>
        <w:t>IMPÔT</w:t>
      </w:r>
      <w:r w:rsidR="007E507A">
        <w:rPr>
          <w:b/>
          <w:color w:val="000000"/>
          <w:sz w:val="12"/>
          <w:szCs w:val="12"/>
        </w:rPr>
        <w:t>S</w:t>
      </w:r>
      <w:r w:rsidR="00D66FF7" w:rsidRPr="00CD1E62">
        <w:rPr>
          <w:bCs/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Interfor n</w:t>
      </w:r>
      <w:r w:rsidR="005E6E37">
        <w:rPr>
          <w:color w:val="000000"/>
          <w:sz w:val="12"/>
          <w:szCs w:val="12"/>
        </w:rPr>
        <w:t>e saurait être</w:t>
      </w:r>
      <w:r w:rsidRPr="00B55ADC">
        <w:rPr>
          <w:color w:val="000000"/>
          <w:sz w:val="12"/>
          <w:szCs w:val="12"/>
        </w:rPr>
        <w:t xml:space="preserve"> tenue responsable des taxes et impôts à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égard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un </w:t>
      </w:r>
      <w:r w:rsidR="00566233">
        <w:rPr>
          <w:color w:val="000000"/>
          <w:sz w:val="12"/>
          <w:szCs w:val="12"/>
        </w:rPr>
        <w:t>bon de commande</w:t>
      </w:r>
      <w:r w:rsidRPr="00B55ADC">
        <w:rPr>
          <w:color w:val="000000"/>
          <w:sz w:val="12"/>
          <w:szCs w:val="12"/>
        </w:rPr>
        <w:t xml:space="preserve">, sauf </w:t>
      </w:r>
      <w:r w:rsidR="007961B0">
        <w:rPr>
          <w:color w:val="000000"/>
          <w:sz w:val="12"/>
          <w:szCs w:val="12"/>
        </w:rPr>
        <w:t xml:space="preserve">pour </w:t>
      </w:r>
      <w:r w:rsidRPr="00B55ADC">
        <w:rPr>
          <w:color w:val="000000"/>
          <w:sz w:val="12"/>
          <w:szCs w:val="12"/>
        </w:rPr>
        <w:t>les taxes de vente,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utilisation,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accise, </w:t>
      </w:r>
      <w:r w:rsidR="00057039">
        <w:rPr>
          <w:color w:val="000000"/>
          <w:sz w:val="12"/>
          <w:szCs w:val="12"/>
        </w:rPr>
        <w:t>sur la</w:t>
      </w:r>
      <w:r w:rsidRPr="00B55ADC">
        <w:rPr>
          <w:color w:val="000000"/>
          <w:sz w:val="12"/>
          <w:szCs w:val="12"/>
        </w:rPr>
        <w:t xml:space="preserve"> valeur ajoutée ou de consommation </w:t>
      </w:r>
      <w:r w:rsidR="00B36ED2">
        <w:rPr>
          <w:color w:val="000000"/>
          <w:sz w:val="12"/>
          <w:szCs w:val="12"/>
        </w:rPr>
        <w:t xml:space="preserve">ou l’impôt sur la valeur </w:t>
      </w:r>
      <w:r w:rsidRPr="00B55ADC">
        <w:rPr>
          <w:color w:val="000000"/>
          <w:sz w:val="12"/>
          <w:szCs w:val="12"/>
        </w:rPr>
        <w:t xml:space="preserve">imposés par une </w:t>
      </w:r>
      <w:r w:rsidR="00501F0D">
        <w:rPr>
          <w:color w:val="000000"/>
          <w:sz w:val="12"/>
          <w:szCs w:val="12"/>
        </w:rPr>
        <w:t xml:space="preserve">Autorité gouvernementale </w:t>
      </w:r>
      <w:r w:rsidRPr="00B55ADC">
        <w:rPr>
          <w:color w:val="000000"/>
          <w:sz w:val="12"/>
          <w:szCs w:val="12"/>
        </w:rPr>
        <w:t xml:space="preserve">que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est tenu de percevoir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Interfor en vertu des lois applicables; et à condition que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émette une facture de façon à permettre à Interfor de demander un crédit ou un remboursement de la taxe sur les intrants conformément à la législation applicable.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ne doit pas percevoir ni remettre</w:t>
      </w:r>
      <w:r w:rsidR="00150774">
        <w:rPr>
          <w:color w:val="000000"/>
          <w:sz w:val="12"/>
          <w:szCs w:val="12"/>
        </w:rPr>
        <w:t xml:space="preserve"> d</w:t>
      </w:r>
      <w:r w:rsidRPr="00B55ADC">
        <w:rPr>
          <w:color w:val="000000"/>
          <w:sz w:val="12"/>
          <w:szCs w:val="12"/>
        </w:rPr>
        <w:t xml:space="preserve">es taxes </w:t>
      </w:r>
      <w:r w:rsidR="00150774">
        <w:rPr>
          <w:color w:val="000000"/>
          <w:sz w:val="12"/>
          <w:szCs w:val="12"/>
        </w:rPr>
        <w:t xml:space="preserve">ou impôts </w:t>
      </w:r>
      <w:r w:rsidRPr="00B55ADC">
        <w:rPr>
          <w:color w:val="000000"/>
          <w:sz w:val="12"/>
          <w:szCs w:val="12"/>
        </w:rPr>
        <w:t>à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égard desquels Interfor a </w:t>
      </w:r>
      <w:r w:rsidR="00150774">
        <w:rPr>
          <w:color w:val="000000"/>
          <w:sz w:val="12"/>
          <w:szCs w:val="12"/>
        </w:rPr>
        <w:t>fourni</w:t>
      </w:r>
      <w:r w:rsidRPr="00B55ADC">
        <w:rPr>
          <w:color w:val="000000"/>
          <w:sz w:val="12"/>
          <w:szCs w:val="12"/>
        </w:rPr>
        <w:t xml:space="preserve"> un certificat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exonération fiscale</w:t>
      </w:r>
      <w:r w:rsidR="001F30AF" w:rsidRPr="001F30AF">
        <w:rPr>
          <w:rFonts w:ascii="Times New Roman" w:eastAsiaTheme="minorHAnsi" w:hAnsi="Times New Roman" w:cs="Times New Roman"/>
          <w:color w:val="000000"/>
          <w:sz w:val="12"/>
          <w:szCs w:val="12"/>
        </w:rPr>
        <w:t xml:space="preserve"> </w:t>
      </w:r>
      <w:r w:rsidR="001F30AF" w:rsidRPr="001F30AF">
        <w:rPr>
          <w:color w:val="000000"/>
          <w:sz w:val="12"/>
          <w:szCs w:val="12"/>
        </w:rPr>
        <w:t xml:space="preserve">et Interfor ne saurait </w:t>
      </w:r>
      <w:r w:rsidR="001F30AF">
        <w:rPr>
          <w:color w:val="000000"/>
          <w:sz w:val="12"/>
          <w:szCs w:val="12"/>
        </w:rPr>
        <w:t xml:space="preserve">en </w:t>
      </w:r>
      <w:r w:rsidR="001F30AF" w:rsidRPr="001F30AF">
        <w:rPr>
          <w:color w:val="000000"/>
          <w:sz w:val="12"/>
          <w:szCs w:val="12"/>
        </w:rPr>
        <w:t>être tenue responsable</w:t>
      </w:r>
      <w:r w:rsidRPr="00B55ADC">
        <w:rPr>
          <w:color w:val="000000"/>
          <w:sz w:val="12"/>
          <w:szCs w:val="12"/>
        </w:rPr>
        <w:t>. Si Interfor est tenue par la législation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un territoire de retenir des taxes, </w:t>
      </w:r>
      <w:r w:rsidR="009A64C1">
        <w:rPr>
          <w:color w:val="000000"/>
          <w:sz w:val="12"/>
          <w:szCs w:val="12"/>
        </w:rPr>
        <w:t xml:space="preserve">des impôts, </w:t>
      </w:r>
      <w:r w:rsidRPr="00B55ADC">
        <w:rPr>
          <w:color w:val="000000"/>
          <w:sz w:val="12"/>
          <w:szCs w:val="12"/>
        </w:rPr>
        <w:t xml:space="preserve">des droits, </w:t>
      </w:r>
      <w:r w:rsidR="00FA5C62">
        <w:rPr>
          <w:color w:val="000000"/>
          <w:sz w:val="12"/>
          <w:szCs w:val="12"/>
        </w:rPr>
        <w:t xml:space="preserve">des cotisations, </w:t>
      </w:r>
      <w:r w:rsidRPr="00B55ADC">
        <w:rPr>
          <w:color w:val="000000"/>
          <w:sz w:val="12"/>
          <w:szCs w:val="12"/>
        </w:rPr>
        <w:t>des prélèvements</w:t>
      </w:r>
      <w:r w:rsidR="00FA5C62">
        <w:rPr>
          <w:color w:val="000000"/>
          <w:sz w:val="12"/>
          <w:szCs w:val="12"/>
        </w:rPr>
        <w:t>, des charges</w:t>
      </w:r>
      <w:r w:rsidRPr="00B55ADC">
        <w:rPr>
          <w:color w:val="000000"/>
          <w:sz w:val="12"/>
          <w:szCs w:val="12"/>
        </w:rPr>
        <w:t xml:space="preserve"> ou des frais (les </w:t>
      </w:r>
      <w:r>
        <w:rPr>
          <w:color w:val="000000"/>
          <w:sz w:val="12"/>
          <w:szCs w:val="12"/>
        </w:rPr>
        <w:t>« </w:t>
      </w:r>
      <w:r w:rsidR="00501F0D">
        <w:rPr>
          <w:b/>
          <w:color w:val="000000"/>
          <w:sz w:val="12"/>
          <w:szCs w:val="12"/>
        </w:rPr>
        <w:t xml:space="preserve">Retenues fiscales </w:t>
      </w:r>
      <w:r>
        <w:rPr>
          <w:color w:val="000000"/>
          <w:sz w:val="12"/>
          <w:szCs w:val="12"/>
        </w:rPr>
        <w:t>»</w:t>
      </w:r>
      <w:r w:rsidRPr="00B55ADC">
        <w:rPr>
          <w:color w:val="000000"/>
          <w:sz w:val="12"/>
          <w:szCs w:val="12"/>
        </w:rPr>
        <w:t>) sur les honoraires, frais</w:t>
      </w:r>
      <w:r w:rsidR="00CB51DF">
        <w:rPr>
          <w:color w:val="000000"/>
          <w:sz w:val="12"/>
          <w:szCs w:val="12"/>
        </w:rPr>
        <w:t>, dépenses</w:t>
      </w:r>
      <w:r w:rsidRPr="00B55ADC">
        <w:rPr>
          <w:color w:val="000000"/>
          <w:sz w:val="12"/>
          <w:szCs w:val="12"/>
        </w:rPr>
        <w:t xml:space="preserve"> ou autres </w:t>
      </w:r>
      <w:r w:rsidR="00CB51DF">
        <w:rPr>
          <w:color w:val="000000"/>
          <w:sz w:val="12"/>
          <w:szCs w:val="12"/>
        </w:rPr>
        <w:t>charge</w:t>
      </w:r>
      <w:r w:rsidRPr="00B55ADC">
        <w:rPr>
          <w:color w:val="000000"/>
          <w:sz w:val="12"/>
          <w:szCs w:val="12"/>
        </w:rPr>
        <w:t>s payé</w:t>
      </w:r>
      <w:r w:rsidR="00911854">
        <w:rPr>
          <w:color w:val="000000"/>
          <w:sz w:val="12"/>
          <w:szCs w:val="12"/>
        </w:rPr>
        <w:t>e</w:t>
      </w:r>
      <w:r w:rsidRPr="00B55ADC">
        <w:rPr>
          <w:color w:val="000000"/>
          <w:sz w:val="12"/>
          <w:szCs w:val="12"/>
        </w:rPr>
        <w:t xml:space="preserve">s au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, Interfor aura le droit de déduire le montant de ces </w:t>
      </w:r>
      <w:r w:rsidR="00501F0D">
        <w:rPr>
          <w:color w:val="000000"/>
          <w:sz w:val="12"/>
          <w:szCs w:val="12"/>
        </w:rPr>
        <w:t xml:space="preserve">Retenues fiscales </w:t>
      </w:r>
      <w:r w:rsidRPr="00B55ADC">
        <w:rPr>
          <w:color w:val="000000"/>
          <w:sz w:val="12"/>
          <w:szCs w:val="12"/>
        </w:rPr>
        <w:t xml:space="preserve">du montant de ces </w:t>
      </w:r>
      <w:r w:rsidR="00AB6D5D">
        <w:rPr>
          <w:color w:val="000000"/>
          <w:sz w:val="12"/>
          <w:szCs w:val="12"/>
        </w:rPr>
        <w:t xml:space="preserve">honoraires, </w:t>
      </w:r>
      <w:r w:rsidRPr="00B55ADC">
        <w:rPr>
          <w:color w:val="000000"/>
          <w:sz w:val="12"/>
          <w:szCs w:val="12"/>
        </w:rPr>
        <w:t>frais</w:t>
      </w:r>
      <w:r w:rsidR="00AB6D5D">
        <w:rPr>
          <w:color w:val="000000"/>
          <w:sz w:val="12"/>
          <w:szCs w:val="12"/>
        </w:rPr>
        <w:t>, dépenses</w:t>
      </w:r>
      <w:r w:rsidRPr="00B55ADC">
        <w:rPr>
          <w:color w:val="000000"/>
          <w:sz w:val="12"/>
          <w:szCs w:val="12"/>
        </w:rPr>
        <w:t xml:space="preserve"> ou autres </w:t>
      </w:r>
      <w:r w:rsidR="00AB6D5D">
        <w:rPr>
          <w:color w:val="000000"/>
          <w:sz w:val="12"/>
          <w:szCs w:val="12"/>
        </w:rPr>
        <w:t>charge</w:t>
      </w:r>
      <w:r w:rsidRPr="00B55ADC">
        <w:rPr>
          <w:color w:val="000000"/>
          <w:sz w:val="12"/>
          <w:szCs w:val="12"/>
        </w:rPr>
        <w:t xml:space="preserve">s. Si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est </w:t>
      </w:r>
      <w:r w:rsidR="00297F96">
        <w:rPr>
          <w:color w:val="000000"/>
          <w:sz w:val="12"/>
          <w:szCs w:val="12"/>
        </w:rPr>
        <w:t>exonér</w:t>
      </w:r>
      <w:r w:rsidRPr="00B55ADC">
        <w:rPr>
          <w:color w:val="000000"/>
          <w:sz w:val="12"/>
          <w:szCs w:val="12"/>
        </w:rPr>
        <w:t xml:space="preserve">é de la retenue ou a droit à un taux réduit de retenue aux termes </w:t>
      </w:r>
      <w:r w:rsidR="00297F96">
        <w:rPr>
          <w:color w:val="000000"/>
          <w:sz w:val="12"/>
          <w:szCs w:val="12"/>
        </w:rPr>
        <w:t>d’une</w:t>
      </w:r>
      <w:r w:rsidRPr="00B55ADC">
        <w:rPr>
          <w:color w:val="000000"/>
          <w:sz w:val="12"/>
          <w:szCs w:val="12"/>
        </w:rPr>
        <w:t xml:space="preserve"> </w:t>
      </w:r>
      <w:r w:rsidR="006E7785">
        <w:rPr>
          <w:color w:val="000000"/>
          <w:sz w:val="12"/>
          <w:szCs w:val="12"/>
        </w:rPr>
        <w:t>Convention</w:t>
      </w:r>
      <w:r w:rsidR="00C01B62">
        <w:rPr>
          <w:color w:val="000000"/>
          <w:sz w:val="12"/>
          <w:szCs w:val="12"/>
        </w:rPr>
        <w:t xml:space="preserve"> ou d’un traité</w:t>
      </w:r>
      <w:r w:rsidRPr="00B55ADC">
        <w:rPr>
          <w:color w:val="000000"/>
          <w:sz w:val="12"/>
          <w:szCs w:val="12"/>
        </w:rPr>
        <w:t xml:space="preserve"> fiscal ou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une autre loi applicable, et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il fournit </w:t>
      </w:r>
      <w:r w:rsidR="00867E0B">
        <w:rPr>
          <w:color w:val="000000"/>
          <w:sz w:val="12"/>
          <w:szCs w:val="12"/>
        </w:rPr>
        <w:t>une</w:t>
      </w:r>
      <w:r w:rsidRPr="00B55ADC">
        <w:rPr>
          <w:color w:val="000000"/>
          <w:sz w:val="12"/>
          <w:szCs w:val="12"/>
        </w:rPr>
        <w:t xml:space="preserve"> documentation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Interfor juge acceptable </w:t>
      </w:r>
      <w:r w:rsidR="00867E0B">
        <w:rPr>
          <w:color w:val="000000"/>
          <w:sz w:val="12"/>
          <w:szCs w:val="12"/>
        </w:rPr>
        <w:t>pour</w:t>
      </w:r>
      <w:r w:rsidRPr="00B55ADC">
        <w:rPr>
          <w:color w:val="000000"/>
          <w:sz w:val="12"/>
          <w:szCs w:val="12"/>
        </w:rPr>
        <w:t xml:space="preserve"> cette </w:t>
      </w:r>
      <w:r w:rsidR="00867E0B">
        <w:rPr>
          <w:color w:val="000000"/>
          <w:sz w:val="12"/>
          <w:szCs w:val="12"/>
        </w:rPr>
        <w:t>exonération</w:t>
      </w:r>
      <w:r w:rsidRPr="00B55ADC">
        <w:rPr>
          <w:color w:val="000000"/>
          <w:sz w:val="12"/>
          <w:szCs w:val="12"/>
        </w:rPr>
        <w:t xml:space="preserve"> ou </w:t>
      </w:r>
      <w:r w:rsidR="00C62663">
        <w:rPr>
          <w:color w:val="000000"/>
          <w:sz w:val="12"/>
          <w:szCs w:val="12"/>
        </w:rPr>
        <w:t>ce</w:t>
      </w:r>
      <w:r w:rsidRPr="00B55ADC">
        <w:rPr>
          <w:color w:val="000000"/>
          <w:sz w:val="12"/>
          <w:szCs w:val="12"/>
        </w:rPr>
        <w:t xml:space="preserve"> taux réduit de retenue, Interfor aura le droit de retenir </w:t>
      </w:r>
      <w:r w:rsidR="00503644">
        <w:rPr>
          <w:color w:val="000000"/>
          <w:sz w:val="12"/>
          <w:szCs w:val="12"/>
        </w:rPr>
        <w:t>l</w:t>
      </w:r>
      <w:r w:rsidRPr="00B55ADC">
        <w:rPr>
          <w:color w:val="000000"/>
          <w:sz w:val="12"/>
          <w:szCs w:val="12"/>
        </w:rPr>
        <w:t xml:space="preserve">es </w:t>
      </w:r>
      <w:r w:rsidR="00501F0D">
        <w:rPr>
          <w:color w:val="000000"/>
          <w:sz w:val="12"/>
          <w:szCs w:val="12"/>
        </w:rPr>
        <w:t xml:space="preserve">Retenues fiscales </w:t>
      </w:r>
      <w:r w:rsidRPr="00B55ADC">
        <w:rPr>
          <w:color w:val="000000"/>
          <w:sz w:val="12"/>
          <w:szCs w:val="12"/>
        </w:rPr>
        <w:t xml:space="preserve">dont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n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est pas ex</w:t>
      </w:r>
      <w:r w:rsidR="00503644">
        <w:rPr>
          <w:color w:val="000000"/>
          <w:sz w:val="12"/>
          <w:szCs w:val="12"/>
        </w:rPr>
        <w:t>onér</w:t>
      </w:r>
      <w:r w:rsidRPr="00B55ADC">
        <w:rPr>
          <w:color w:val="000000"/>
          <w:sz w:val="12"/>
          <w:szCs w:val="12"/>
        </w:rPr>
        <w:t>é.</w:t>
      </w:r>
    </w:p>
    <w:p w14:paraId="2356DC17" w14:textId="211A5E6A" w:rsidR="00B55ADC" w:rsidRPr="00D66FF7" w:rsidRDefault="0009069A" w:rsidP="00B55ADC">
      <w:pPr>
        <w:pStyle w:val="ListParagraph"/>
        <w:numPr>
          <w:ilvl w:val="0"/>
          <w:numId w:val="1"/>
        </w:numPr>
        <w:tabs>
          <w:tab w:val="left" w:pos="292"/>
        </w:tabs>
        <w:spacing w:after="120"/>
        <w:ind w:left="0" w:right="0" w:firstLine="0"/>
        <w:rPr>
          <w:sz w:val="12"/>
          <w:szCs w:val="12"/>
        </w:rPr>
      </w:pPr>
      <w:r>
        <w:rPr>
          <w:b/>
          <w:color w:val="000000"/>
          <w:sz w:val="12"/>
          <w:szCs w:val="12"/>
        </w:rPr>
        <w:t>PRIVILÈGES</w:t>
      </w:r>
      <w:r w:rsidR="00B55ADC" w:rsidRPr="00D66FF7">
        <w:rPr>
          <w:color w:val="000000"/>
          <w:sz w:val="12"/>
          <w:szCs w:val="12"/>
        </w:rPr>
        <w:t xml:space="preserve">. Le </w:t>
      </w:r>
      <w:r w:rsidR="00CE4FA4">
        <w:rPr>
          <w:color w:val="000000"/>
          <w:sz w:val="12"/>
          <w:szCs w:val="12"/>
        </w:rPr>
        <w:t>Fournisseur</w:t>
      </w:r>
      <w:r w:rsidR="00B55ADC" w:rsidRPr="00D66FF7">
        <w:rPr>
          <w:color w:val="000000"/>
          <w:sz w:val="12"/>
          <w:szCs w:val="12"/>
        </w:rPr>
        <w:t xml:space="preserve"> préserve</w:t>
      </w:r>
      <w:r w:rsidR="00CE42E3">
        <w:rPr>
          <w:color w:val="000000"/>
          <w:sz w:val="12"/>
          <w:szCs w:val="12"/>
        </w:rPr>
        <w:t xml:space="preserve"> et garde</w:t>
      </w:r>
      <w:r w:rsidR="00B55ADC" w:rsidRPr="00D66FF7">
        <w:rPr>
          <w:color w:val="000000"/>
          <w:sz w:val="12"/>
          <w:szCs w:val="12"/>
        </w:rPr>
        <w:t xml:space="preserve"> les </w:t>
      </w:r>
      <w:r w:rsidR="00DD253F">
        <w:rPr>
          <w:color w:val="000000"/>
          <w:sz w:val="12"/>
          <w:szCs w:val="12"/>
        </w:rPr>
        <w:t>b</w:t>
      </w:r>
      <w:r w:rsidR="00CE4FA4">
        <w:rPr>
          <w:color w:val="000000"/>
          <w:sz w:val="12"/>
          <w:szCs w:val="12"/>
        </w:rPr>
        <w:t>iens</w:t>
      </w:r>
      <w:r w:rsidR="00B55ADC" w:rsidRPr="00D66FF7">
        <w:rPr>
          <w:color w:val="000000"/>
          <w:sz w:val="12"/>
          <w:szCs w:val="12"/>
        </w:rPr>
        <w:t xml:space="preserve"> immeubles</w:t>
      </w:r>
      <w:r w:rsidR="00502964">
        <w:rPr>
          <w:color w:val="000000"/>
          <w:sz w:val="12"/>
          <w:szCs w:val="12"/>
        </w:rPr>
        <w:t>, meubles</w:t>
      </w:r>
      <w:r w:rsidR="00B55ADC" w:rsidRPr="00D66FF7">
        <w:rPr>
          <w:color w:val="000000"/>
          <w:sz w:val="12"/>
          <w:szCs w:val="12"/>
        </w:rPr>
        <w:t xml:space="preserve"> et personnels d’Interfor </w:t>
      </w:r>
      <w:r w:rsidR="00502964">
        <w:rPr>
          <w:color w:val="000000"/>
          <w:sz w:val="12"/>
          <w:szCs w:val="12"/>
        </w:rPr>
        <w:t>libres</w:t>
      </w:r>
      <w:r w:rsidR="00604832">
        <w:rPr>
          <w:color w:val="000000"/>
          <w:sz w:val="12"/>
          <w:szCs w:val="12"/>
        </w:rPr>
        <w:t xml:space="preserve"> d</w:t>
      </w:r>
      <w:r w:rsidR="00B55ADC" w:rsidRPr="00D66FF7">
        <w:rPr>
          <w:color w:val="000000"/>
          <w:sz w:val="12"/>
          <w:szCs w:val="12"/>
        </w:rPr>
        <w:t>e tou</w:t>
      </w:r>
      <w:r w:rsidR="00DD253F">
        <w:rPr>
          <w:color w:val="000000"/>
          <w:sz w:val="12"/>
          <w:szCs w:val="12"/>
        </w:rPr>
        <w:t>t</w:t>
      </w:r>
      <w:r w:rsidR="00B55ADC" w:rsidRPr="00D66FF7">
        <w:rPr>
          <w:color w:val="000000"/>
          <w:sz w:val="12"/>
          <w:szCs w:val="12"/>
        </w:rPr>
        <w:t xml:space="preserve"> privilège</w:t>
      </w:r>
      <w:r w:rsidR="00604832">
        <w:rPr>
          <w:color w:val="000000"/>
          <w:sz w:val="12"/>
          <w:szCs w:val="12"/>
        </w:rPr>
        <w:t>, priorité, hypothèque légale, droits de rétention</w:t>
      </w:r>
      <w:r w:rsidR="00B55ADC" w:rsidRPr="00D66FF7">
        <w:rPr>
          <w:color w:val="000000"/>
          <w:sz w:val="12"/>
          <w:szCs w:val="12"/>
        </w:rPr>
        <w:t xml:space="preserve"> ou autres </w:t>
      </w:r>
      <w:r w:rsidR="00604832">
        <w:rPr>
          <w:color w:val="000000"/>
          <w:sz w:val="12"/>
          <w:szCs w:val="12"/>
        </w:rPr>
        <w:t>charge</w:t>
      </w:r>
      <w:r w:rsidR="00B55ADC" w:rsidRPr="00D66FF7">
        <w:rPr>
          <w:color w:val="000000"/>
          <w:sz w:val="12"/>
          <w:szCs w:val="12"/>
        </w:rPr>
        <w:t>s découlant de la livraison</w:t>
      </w:r>
      <w:r w:rsidR="00A42B08">
        <w:rPr>
          <w:color w:val="000000"/>
          <w:sz w:val="12"/>
          <w:szCs w:val="12"/>
        </w:rPr>
        <w:t>, de la prestation</w:t>
      </w:r>
      <w:r w:rsidR="00B55ADC" w:rsidRPr="00D66FF7">
        <w:rPr>
          <w:color w:val="000000"/>
          <w:sz w:val="12"/>
          <w:szCs w:val="12"/>
        </w:rPr>
        <w:t xml:space="preserve"> ou de l’exécution des </w:t>
      </w:r>
      <w:r w:rsidR="00CE4FA4">
        <w:rPr>
          <w:color w:val="000000"/>
          <w:sz w:val="12"/>
          <w:szCs w:val="12"/>
        </w:rPr>
        <w:t xml:space="preserve">Biens/Services </w:t>
      </w:r>
      <w:r w:rsidR="00B55ADC" w:rsidRPr="00D66FF7">
        <w:rPr>
          <w:color w:val="000000"/>
          <w:sz w:val="12"/>
          <w:szCs w:val="12"/>
        </w:rPr>
        <w:t xml:space="preserve">ou qui s’y rattachent. Le </w:t>
      </w:r>
      <w:r w:rsidR="00CE4FA4">
        <w:rPr>
          <w:color w:val="000000"/>
          <w:sz w:val="12"/>
          <w:szCs w:val="12"/>
        </w:rPr>
        <w:t>Fournisseur</w:t>
      </w:r>
      <w:r w:rsidR="00B55ADC" w:rsidRPr="00D66FF7">
        <w:rPr>
          <w:color w:val="000000"/>
          <w:sz w:val="12"/>
          <w:szCs w:val="12"/>
        </w:rPr>
        <w:t xml:space="preserve"> </w:t>
      </w:r>
      <w:r w:rsidR="00E46E45">
        <w:rPr>
          <w:color w:val="000000"/>
          <w:sz w:val="12"/>
          <w:szCs w:val="12"/>
        </w:rPr>
        <w:t>pa</w:t>
      </w:r>
      <w:r w:rsidR="00DD253F">
        <w:rPr>
          <w:color w:val="000000"/>
          <w:sz w:val="12"/>
          <w:szCs w:val="12"/>
        </w:rPr>
        <w:t>ie</w:t>
      </w:r>
      <w:r w:rsidR="00B55ADC" w:rsidRPr="00D66FF7">
        <w:rPr>
          <w:color w:val="000000"/>
          <w:sz w:val="12"/>
          <w:szCs w:val="12"/>
        </w:rPr>
        <w:t xml:space="preserve"> sans délai tous les frais, </w:t>
      </w:r>
      <w:r w:rsidR="00E46E45">
        <w:rPr>
          <w:color w:val="000000"/>
          <w:sz w:val="12"/>
          <w:szCs w:val="12"/>
        </w:rPr>
        <w:t xml:space="preserve">charges, </w:t>
      </w:r>
      <w:r w:rsidR="00B55ADC" w:rsidRPr="00D66FF7">
        <w:rPr>
          <w:color w:val="000000"/>
          <w:sz w:val="12"/>
          <w:szCs w:val="12"/>
        </w:rPr>
        <w:t>cotisations et réclamations à l’</w:t>
      </w:r>
      <w:r w:rsidR="001D71FA">
        <w:rPr>
          <w:color w:val="000000"/>
          <w:sz w:val="12"/>
          <w:szCs w:val="12"/>
        </w:rPr>
        <w:t>encontre</w:t>
      </w:r>
      <w:r w:rsidR="00B55ADC" w:rsidRPr="00D66FF7">
        <w:rPr>
          <w:color w:val="000000"/>
          <w:sz w:val="12"/>
          <w:szCs w:val="12"/>
        </w:rPr>
        <w:t xml:space="preserve"> du </w:t>
      </w:r>
      <w:r w:rsidR="00CE4FA4">
        <w:rPr>
          <w:color w:val="000000"/>
          <w:sz w:val="12"/>
          <w:szCs w:val="12"/>
        </w:rPr>
        <w:t>Fournisseur</w:t>
      </w:r>
      <w:r w:rsidR="00B55ADC" w:rsidRPr="00D66FF7">
        <w:rPr>
          <w:color w:val="000000"/>
          <w:sz w:val="12"/>
          <w:szCs w:val="12"/>
        </w:rPr>
        <w:t xml:space="preserve"> ou de ses sous-traitants à l’égard de la </w:t>
      </w:r>
      <w:r w:rsidR="001D71FA" w:rsidRPr="00D66FF7">
        <w:rPr>
          <w:color w:val="000000"/>
          <w:sz w:val="12"/>
          <w:szCs w:val="12"/>
        </w:rPr>
        <w:t>main-d’œuvre</w:t>
      </w:r>
      <w:r w:rsidR="00B55ADC" w:rsidRPr="00D66FF7">
        <w:rPr>
          <w:color w:val="000000"/>
          <w:sz w:val="12"/>
          <w:szCs w:val="12"/>
        </w:rPr>
        <w:t>, d</w:t>
      </w:r>
      <w:r w:rsidR="001D71FA">
        <w:rPr>
          <w:color w:val="000000"/>
          <w:sz w:val="12"/>
          <w:szCs w:val="12"/>
        </w:rPr>
        <w:t>es</w:t>
      </w:r>
      <w:r w:rsidR="00B55ADC" w:rsidRPr="00D66FF7">
        <w:rPr>
          <w:color w:val="000000"/>
          <w:sz w:val="12"/>
          <w:szCs w:val="12"/>
        </w:rPr>
        <w:t xml:space="preserve"> matéri</w:t>
      </w:r>
      <w:r w:rsidR="001D71FA">
        <w:rPr>
          <w:color w:val="000000"/>
          <w:sz w:val="12"/>
          <w:szCs w:val="12"/>
        </w:rPr>
        <w:t>aux</w:t>
      </w:r>
      <w:r w:rsidR="00B55ADC" w:rsidRPr="00D66FF7">
        <w:rPr>
          <w:color w:val="000000"/>
          <w:sz w:val="12"/>
          <w:szCs w:val="12"/>
        </w:rPr>
        <w:t xml:space="preserve">, de l’équipement et des </w:t>
      </w:r>
      <w:r w:rsidR="00CE4FA4">
        <w:rPr>
          <w:color w:val="000000"/>
          <w:sz w:val="12"/>
          <w:szCs w:val="12"/>
        </w:rPr>
        <w:t>Services</w:t>
      </w:r>
      <w:r w:rsidR="00B55ADC" w:rsidRPr="00D66FF7">
        <w:rPr>
          <w:color w:val="000000"/>
          <w:sz w:val="12"/>
          <w:szCs w:val="12"/>
        </w:rPr>
        <w:t xml:space="preserve"> </w:t>
      </w:r>
      <w:r w:rsidR="001B048C">
        <w:rPr>
          <w:color w:val="000000"/>
          <w:sz w:val="12"/>
          <w:szCs w:val="12"/>
        </w:rPr>
        <w:t>utilisés ou</w:t>
      </w:r>
      <w:r w:rsidR="00EF5D84">
        <w:rPr>
          <w:color w:val="000000"/>
          <w:sz w:val="12"/>
          <w:szCs w:val="12"/>
        </w:rPr>
        <w:t xml:space="preserve"> sous</w:t>
      </w:r>
      <w:r w:rsidR="00DD253F">
        <w:rPr>
          <w:color w:val="000000"/>
          <w:sz w:val="12"/>
          <w:szCs w:val="12"/>
        </w:rPr>
        <w:t xml:space="preserve"> un</w:t>
      </w:r>
      <w:r w:rsidR="00EF5D84">
        <w:rPr>
          <w:color w:val="000000"/>
          <w:sz w:val="12"/>
          <w:szCs w:val="12"/>
        </w:rPr>
        <w:t xml:space="preserve"> </w:t>
      </w:r>
      <w:r w:rsidR="00B55ADC" w:rsidRPr="00D66FF7">
        <w:rPr>
          <w:color w:val="000000"/>
          <w:sz w:val="12"/>
          <w:szCs w:val="12"/>
        </w:rPr>
        <w:t xml:space="preserve">contrat </w:t>
      </w:r>
      <w:r w:rsidR="00EF5D84">
        <w:rPr>
          <w:color w:val="000000"/>
          <w:sz w:val="12"/>
          <w:szCs w:val="12"/>
        </w:rPr>
        <w:t xml:space="preserve">par le </w:t>
      </w:r>
      <w:r w:rsidR="00CE4FA4">
        <w:rPr>
          <w:color w:val="000000"/>
          <w:sz w:val="12"/>
          <w:szCs w:val="12"/>
        </w:rPr>
        <w:t>Fournisseur</w:t>
      </w:r>
      <w:r w:rsidR="00EF5D84">
        <w:rPr>
          <w:color w:val="000000"/>
          <w:sz w:val="12"/>
          <w:szCs w:val="12"/>
        </w:rPr>
        <w:t xml:space="preserve"> </w:t>
      </w:r>
      <w:r w:rsidR="00B55ADC" w:rsidRPr="00D66FF7">
        <w:rPr>
          <w:color w:val="000000"/>
          <w:sz w:val="12"/>
          <w:szCs w:val="12"/>
        </w:rPr>
        <w:t>pour la livraison</w:t>
      </w:r>
      <w:r w:rsidR="00877148">
        <w:rPr>
          <w:color w:val="000000"/>
          <w:sz w:val="12"/>
          <w:szCs w:val="12"/>
        </w:rPr>
        <w:t>, la prestation</w:t>
      </w:r>
      <w:r w:rsidR="00B55ADC" w:rsidRPr="00D66FF7">
        <w:rPr>
          <w:color w:val="000000"/>
          <w:sz w:val="12"/>
          <w:szCs w:val="12"/>
        </w:rPr>
        <w:t xml:space="preserve"> ou l’exécution des </w:t>
      </w:r>
      <w:r w:rsidR="00CE4FA4">
        <w:rPr>
          <w:color w:val="000000"/>
          <w:sz w:val="12"/>
          <w:szCs w:val="12"/>
        </w:rPr>
        <w:t xml:space="preserve">Biens/Services </w:t>
      </w:r>
      <w:r w:rsidR="00B55ADC" w:rsidRPr="00D66FF7">
        <w:rPr>
          <w:color w:val="000000"/>
          <w:sz w:val="12"/>
          <w:szCs w:val="12"/>
        </w:rPr>
        <w:t>ou qui pourraient donner lieu à un privilège</w:t>
      </w:r>
      <w:r w:rsidR="00240B6F">
        <w:rPr>
          <w:color w:val="000000"/>
          <w:sz w:val="12"/>
          <w:szCs w:val="12"/>
        </w:rPr>
        <w:t xml:space="preserve">, </w:t>
      </w:r>
      <w:bookmarkStart w:id="2" w:name="_Hlk94175893"/>
      <w:r w:rsidR="00240B6F">
        <w:rPr>
          <w:color w:val="000000"/>
          <w:sz w:val="12"/>
          <w:szCs w:val="12"/>
        </w:rPr>
        <w:t>priorité, hypothèque, droit de rétention</w:t>
      </w:r>
      <w:r w:rsidR="00B55ADC" w:rsidRPr="00D66FF7">
        <w:rPr>
          <w:color w:val="000000"/>
          <w:sz w:val="12"/>
          <w:szCs w:val="12"/>
        </w:rPr>
        <w:t xml:space="preserve"> </w:t>
      </w:r>
      <w:bookmarkEnd w:id="2"/>
      <w:r w:rsidR="00B55ADC" w:rsidRPr="00D66FF7">
        <w:rPr>
          <w:color w:val="000000"/>
          <w:sz w:val="12"/>
          <w:szCs w:val="12"/>
        </w:rPr>
        <w:t xml:space="preserve">ou à d’autres </w:t>
      </w:r>
      <w:r w:rsidR="006C6BEA">
        <w:rPr>
          <w:color w:val="000000"/>
          <w:sz w:val="12"/>
          <w:szCs w:val="12"/>
        </w:rPr>
        <w:t>charge</w:t>
      </w:r>
      <w:r w:rsidR="00B55ADC" w:rsidRPr="00D66FF7">
        <w:rPr>
          <w:color w:val="000000"/>
          <w:sz w:val="12"/>
          <w:szCs w:val="12"/>
        </w:rPr>
        <w:t xml:space="preserve">s sur </w:t>
      </w:r>
      <w:r w:rsidR="009E2294">
        <w:rPr>
          <w:color w:val="000000"/>
          <w:sz w:val="12"/>
          <w:szCs w:val="12"/>
        </w:rPr>
        <w:t xml:space="preserve">des </w:t>
      </w:r>
      <w:r w:rsidR="00DD253F">
        <w:rPr>
          <w:color w:val="000000"/>
          <w:sz w:val="12"/>
          <w:szCs w:val="12"/>
        </w:rPr>
        <w:t>b</w:t>
      </w:r>
      <w:r w:rsidR="00CE4FA4">
        <w:rPr>
          <w:color w:val="000000"/>
          <w:sz w:val="12"/>
          <w:szCs w:val="12"/>
        </w:rPr>
        <w:t>iens</w:t>
      </w:r>
      <w:r w:rsidR="009E2294">
        <w:rPr>
          <w:color w:val="000000"/>
          <w:sz w:val="12"/>
          <w:szCs w:val="12"/>
        </w:rPr>
        <w:t xml:space="preserve"> </w:t>
      </w:r>
      <w:r w:rsidR="00B55ADC" w:rsidRPr="00D66FF7">
        <w:rPr>
          <w:color w:val="000000"/>
          <w:sz w:val="12"/>
          <w:szCs w:val="12"/>
        </w:rPr>
        <w:t>immeuble</w:t>
      </w:r>
      <w:r w:rsidR="009E2294">
        <w:rPr>
          <w:color w:val="000000"/>
          <w:sz w:val="12"/>
          <w:szCs w:val="12"/>
        </w:rPr>
        <w:t xml:space="preserve">s, </w:t>
      </w:r>
      <w:r w:rsidR="00B55ADC" w:rsidRPr="00D66FF7">
        <w:rPr>
          <w:color w:val="000000"/>
          <w:sz w:val="12"/>
          <w:szCs w:val="12"/>
        </w:rPr>
        <w:t>meuble</w:t>
      </w:r>
      <w:r w:rsidR="009E2294">
        <w:rPr>
          <w:color w:val="000000"/>
          <w:sz w:val="12"/>
          <w:szCs w:val="12"/>
        </w:rPr>
        <w:t>s ou personnels</w:t>
      </w:r>
      <w:r w:rsidR="00B55ADC" w:rsidRPr="00D66FF7">
        <w:rPr>
          <w:color w:val="000000"/>
          <w:sz w:val="12"/>
          <w:szCs w:val="12"/>
        </w:rPr>
        <w:t xml:space="preserve"> d’Interfor. S</w:t>
      </w:r>
      <w:r w:rsidR="00C86A18">
        <w:rPr>
          <w:color w:val="000000"/>
          <w:sz w:val="12"/>
          <w:szCs w:val="12"/>
        </w:rPr>
        <w:t>’il existe</w:t>
      </w:r>
      <w:r w:rsidR="00B55ADC" w:rsidRPr="00D66FF7">
        <w:rPr>
          <w:color w:val="000000"/>
          <w:sz w:val="12"/>
          <w:szCs w:val="12"/>
        </w:rPr>
        <w:t xml:space="preserve"> un privilège</w:t>
      </w:r>
      <w:r w:rsidR="0082653F">
        <w:rPr>
          <w:color w:val="000000"/>
          <w:sz w:val="12"/>
          <w:szCs w:val="12"/>
        </w:rPr>
        <w:t>,</w:t>
      </w:r>
      <w:r w:rsidR="00B55ADC" w:rsidRPr="00D66FF7">
        <w:rPr>
          <w:color w:val="000000"/>
          <w:sz w:val="12"/>
          <w:szCs w:val="12"/>
        </w:rPr>
        <w:t xml:space="preserve"> </w:t>
      </w:r>
      <w:r w:rsidR="009D01AC">
        <w:rPr>
          <w:color w:val="000000"/>
          <w:sz w:val="12"/>
          <w:szCs w:val="12"/>
        </w:rPr>
        <w:t>priorité, hypothèque</w:t>
      </w:r>
      <w:r w:rsidR="0082653F" w:rsidRPr="0082653F">
        <w:rPr>
          <w:color w:val="000000"/>
          <w:sz w:val="12"/>
          <w:szCs w:val="12"/>
        </w:rPr>
        <w:t xml:space="preserve">, droit de rétention </w:t>
      </w:r>
      <w:r w:rsidR="00B55ADC" w:rsidRPr="00D66FF7">
        <w:rPr>
          <w:color w:val="000000"/>
          <w:sz w:val="12"/>
          <w:szCs w:val="12"/>
        </w:rPr>
        <w:t>ou une autre charge, réel</w:t>
      </w:r>
      <w:r w:rsidR="00DC469F">
        <w:rPr>
          <w:color w:val="000000"/>
          <w:sz w:val="12"/>
          <w:szCs w:val="12"/>
        </w:rPr>
        <w:t>le</w:t>
      </w:r>
      <w:r w:rsidR="00B55ADC" w:rsidRPr="00D66FF7">
        <w:rPr>
          <w:color w:val="000000"/>
          <w:sz w:val="12"/>
          <w:szCs w:val="12"/>
        </w:rPr>
        <w:t xml:space="preserve"> ou imminen</w:t>
      </w:r>
      <w:r w:rsidR="00756F15">
        <w:rPr>
          <w:color w:val="000000"/>
          <w:sz w:val="12"/>
          <w:szCs w:val="12"/>
        </w:rPr>
        <w:t>t</w:t>
      </w:r>
      <w:r w:rsidR="00DC469F">
        <w:rPr>
          <w:color w:val="000000"/>
          <w:sz w:val="12"/>
          <w:szCs w:val="12"/>
        </w:rPr>
        <w:t>e</w:t>
      </w:r>
      <w:r w:rsidR="00756F15">
        <w:rPr>
          <w:color w:val="000000"/>
          <w:sz w:val="12"/>
          <w:szCs w:val="12"/>
        </w:rPr>
        <w:t xml:space="preserve"> sur</w:t>
      </w:r>
      <w:r w:rsidR="00B55ADC" w:rsidRPr="00D66FF7">
        <w:rPr>
          <w:color w:val="000000"/>
          <w:sz w:val="12"/>
          <w:szCs w:val="12"/>
        </w:rPr>
        <w:t xml:space="preserve"> les </w:t>
      </w:r>
      <w:r w:rsidR="00DC469F">
        <w:rPr>
          <w:color w:val="000000"/>
          <w:sz w:val="12"/>
          <w:szCs w:val="12"/>
        </w:rPr>
        <w:t>b</w:t>
      </w:r>
      <w:r w:rsidR="00CE4FA4">
        <w:rPr>
          <w:color w:val="000000"/>
          <w:sz w:val="12"/>
          <w:szCs w:val="12"/>
        </w:rPr>
        <w:t>iens</w:t>
      </w:r>
      <w:r w:rsidR="00B55ADC" w:rsidRPr="00D66FF7">
        <w:rPr>
          <w:color w:val="000000"/>
          <w:sz w:val="12"/>
          <w:szCs w:val="12"/>
        </w:rPr>
        <w:t xml:space="preserve"> d’Interfor par suite de la livraison</w:t>
      </w:r>
      <w:r w:rsidR="00C86A18">
        <w:rPr>
          <w:color w:val="000000"/>
          <w:sz w:val="12"/>
          <w:szCs w:val="12"/>
        </w:rPr>
        <w:t>, de la prestation</w:t>
      </w:r>
      <w:r w:rsidR="00B55ADC" w:rsidRPr="00D66FF7">
        <w:rPr>
          <w:color w:val="000000"/>
          <w:sz w:val="12"/>
          <w:szCs w:val="12"/>
        </w:rPr>
        <w:t xml:space="preserve"> ou de l’exécution de </w:t>
      </w:r>
      <w:r w:rsidR="00CE4FA4">
        <w:rPr>
          <w:color w:val="000000"/>
          <w:sz w:val="12"/>
          <w:szCs w:val="12"/>
        </w:rPr>
        <w:t>Biens</w:t>
      </w:r>
      <w:r w:rsidR="00C86A18">
        <w:rPr>
          <w:color w:val="000000"/>
          <w:sz w:val="12"/>
          <w:szCs w:val="12"/>
        </w:rPr>
        <w:t>/</w:t>
      </w:r>
      <w:r w:rsidR="00CE4FA4">
        <w:rPr>
          <w:color w:val="000000"/>
          <w:sz w:val="12"/>
          <w:szCs w:val="12"/>
        </w:rPr>
        <w:t>Services</w:t>
      </w:r>
      <w:r w:rsidR="00B55ADC" w:rsidRPr="00D66FF7">
        <w:rPr>
          <w:color w:val="000000"/>
          <w:sz w:val="12"/>
          <w:szCs w:val="12"/>
        </w:rPr>
        <w:t xml:space="preserve">, le </w:t>
      </w:r>
      <w:r w:rsidR="00CE4FA4">
        <w:rPr>
          <w:color w:val="000000"/>
          <w:sz w:val="12"/>
          <w:szCs w:val="12"/>
        </w:rPr>
        <w:t>Fournisseur</w:t>
      </w:r>
      <w:r w:rsidR="00B55ADC" w:rsidRPr="00D66FF7">
        <w:rPr>
          <w:color w:val="000000"/>
          <w:sz w:val="12"/>
          <w:szCs w:val="12"/>
        </w:rPr>
        <w:t xml:space="preserve"> doit effectuer tous les paiements, y compris, notamment la </w:t>
      </w:r>
      <w:r w:rsidR="00B55ADC" w:rsidRPr="00931836">
        <w:rPr>
          <w:color w:val="000000"/>
          <w:sz w:val="12"/>
          <w:szCs w:val="12"/>
        </w:rPr>
        <w:t>fourniture d’une sûreté ou d’un paiement devant le tribunal, nécessaires</w:t>
      </w:r>
      <w:r w:rsidR="00E87ED8" w:rsidRPr="00931836">
        <w:rPr>
          <w:color w:val="000000"/>
          <w:sz w:val="12"/>
          <w:szCs w:val="12"/>
        </w:rPr>
        <w:t xml:space="preserve"> </w:t>
      </w:r>
      <w:r w:rsidR="00B55ADC" w:rsidRPr="00931836">
        <w:rPr>
          <w:color w:val="000000"/>
          <w:sz w:val="12"/>
          <w:szCs w:val="12"/>
        </w:rPr>
        <w:t>:</w:t>
      </w:r>
      <w:r w:rsidR="004F0A6D" w:rsidRPr="00931836">
        <w:rPr>
          <w:color w:val="000000"/>
          <w:sz w:val="12"/>
          <w:szCs w:val="12"/>
        </w:rPr>
        <w:t xml:space="preserve"> </w:t>
      </w:r>
      <w:r w:rsidR="00B55ADC" w:rsidRPr="00931836">
        <w:rPr>
          <w:color w:val="000000"/>
          <w:sz w:val="12"/>
          <w:szCs w:val="12"/>
        </w:rPr>
        <w:t xml:space="preserve">a) </w:t>
      </w:r>
      <w:r w:rsidR="00E87ED8" w:rsidRPr="00931836">
        <w:rPr>
          <w:color w:val="000000"/>
          <w:sz w:val="12"/>
          <w:szCs w:val="12"/>
        </w:rPr>
        <w:t xml:space="preserve">pour </w:t>
      </w:r>
      <w:r w:rsidR="00B55ADC" w:rsidRPr="00931836">
        <w:rPr>
          <w:color w:val="000000"/>
          <w:sz w:val="12"/>
          <w:szCs w:val="12"/>
        </w:rPr>
        <w:t>faire retirer ce privilège</w:t>
      </w:r>
      <w:r w:rsidR="00211F0B" w:rsidRPr="00931836">
        <w:rPr>
          <w:rFonts w:eastAsiaTheme="minorHAnsi" w:cs="Times New Roman"/>
          <w:color w:val="000000"/>
          <w:sz w:val="12"/>
          <w:szCs w:val="12"/>
        </w:rPr>
        <w:t xml:space="preserve">, </w:t>
      </w:r>
      <w:r w:rsidR="009D01AC" w:rsidRPr="00931836">
        <w:rPr>
          <w:color w:val="000000"/>
          <w:sz w:val="12"/>
          <w:szCs w:val="12"/>
        </w:rPr>
        <w:t>priorité, hypothèque</w:t>
      </w:r>
      <w:r w:rsidR="00211F0B" w:rsidRPr="00931836">
        <w:rPr>
          <w:color w:val="000000"/>
          <w:sz w:val="12"/>
          <w:szCs w:val="12"/>
        </w:rPr>
        <w:t>, droit de rétention</w:t>
      </w:r>
      <w:r w:rsidR="00B55ADC" w:rsidRPr="00931836">
        <w:rPr>
          <w:color w:val="000000"/>
          <w:sz w:val="12"/>
          <w:szCs w:val="12"/>
        </w:rPr>
        <w:t xml:space="preserve"> ou charge dans les cinq (5) jours suivant la remise par Interfor d’un avis au </w:t>
      </w:r>
      <w:r w:rsidR="00CE4FA4" w:rsidRPr="00931836">
        <w:rPr>
          <w:color w:val="000000"/>
          <w:sz w:val="12"/>
          <w:szCs w:val="12"/>
        </w:rPr>
        <w:t>Fournisseur</w:t>
      </w:r>
      <w:r w:rsidR="00B55ADC" w:rsidRPr="00931836">
        <w:rPr>
          <w:color w:val="000000"/>
          <w:sz w:val="12"/>
          <w:szCs w:val="12"/>
        </w:rPr>
        <w:t xml:space="preserve"> du privilège</w:t>
      </w:r>
      <w:r w:rsidR="00211F0B" w:rsidRPr="00931836">
        <w:rPr>
          <w:rFonts w:eastAsiaTheme="minorHAnsi" w:cs="Times New Roman"/>
          <w:color w:val="000000"/>
          <w:sz w:val="12"/>
          <w:szCs w:val="12"/>
        </w:rPr>
        <w:t xml:space="preserve">, </w:t>
      </w:r>
      <w:r w:rsidR="00211F0B" w:rsidRPr="00931836">
        <w:rPr>
          <w:color w:val="000000"/>
          <w:sz w:val="12"/>
          <w:szCs w:val="12"/>
        </w:rPr>
        <w:t>priorité, hypothèque, droit de rétention ou charge</w:t>
      </w:r>
      <w:r w:rsidR="00E87ED8" w:rsidRPr="00931836">
        <w:rPr>
          <w:color w:val="000000"/>
          <w:sz w:val="12"/>
          <w:szCs w:val="12"/>
        </w:rPr>
        <w:t>;</w:t>
      </w:r>
      <w:r w:rsidR="00B55ADC" w:rsidRPr="00931836">
        <w:rPr>
          <w:color w:val="000000"/>
          <w:sz w:val="12"/>
          <w:szCs w:val="12"/>
        </w:rPr>
        <w:t xml:space="preserve"> ou </w:t>
      </w:r>
      <w:r w:rsidR="00B55ADC" w:rsidRPr="00931836">
        <w:rPr>
          <w:color w:val="000000"/>
          <w:sz w:val="12"/>
          <w:szCs w:val="12"/>
        </w:rPr>
        <w:t xml:space="preserve">b) </w:t>
      </w:r>
      <w:r w:rsidR="00E87ED8" w:rsidRPr="00931836">
        <w:rPr>
          <w:color w:val="000000"/>
          <w:sz w:val="12"/>
          <w:szCs w:val="12"/>
        </w:rPr>
        <w:t xml:space="preserve">pour </w:t>
      </w:r>
      <w:r w:rsidR="00B55ADC" w:rsidRPr="00931836">
        <w:rPr>
          <w:color w:val="000000"/>
          <w:sz w:val="12"/>
          <w:szCs w:val="12"/>
        </w:rPr>
        <w:t xml:space="preserve">éviter </w:t>
      </w:r>
      <w:r w:rsidR="00DA583F" w:rsidRPr="00931836">
        <w:rPr>
          <w:color w:val="000000"/>
          <w:sz w:val="12"/>
          <w:szCs w:val="12"/>
        </w:rPr>
        <w:t xml:space="preserve">qu’un </w:t>
      </w:r>
      <w:r w:rsidR="00B55ADC" w:rsidRPr="00931836">
        <w:rPr>
          <w:color w:val="000000"/>
          <w:sz w:val="12"/>
          <w:szCs w:val="12"/>
        </w:rPr>
        <w:t>privilège</w:t>
      </w:r>
      <w:r w:rsidR="004160FA" w:rsidRPr="00931836">
        <w:rPr>
          <w:color w:val="000000"/>
          <w:sz w:val="12"/>
          <w:szCs w:val="12"/>
        </w:rPr>
        <w:t>,</w:t>
      </w:r>
      <w:r w:rsidR="004160FA" w:rsidRPr="00931836">
        <w:rPr>
          <w:rFonts w:eastAsiaTheme="minorHAnsi" w:cs="Times New Roman"/>
          <w:color w:val="000000"/>
          <w:sz w:val="12"/>
          <w:szCs w:val="12"/>
        </w:rPr>
        <w:t xml:space="preserve"> </w:t>
      </w:r>
      <w:r w:rsidR="004160FA" w:rsidRPr="00931836">
        <w:rPr>
          <w:color w:val="000000"/>
          <w:sz w:val="12"/>
          <w:szCs w:val="12"/>
        </w:rPr>
        <w:t>priorité, hypothèque, droit de rétention</w:t>
      </w:r>
      <w:r w:rsidR="00B55ADC" w:rsidRPr="00931836">
        <w:rPr>
          <w:color w:val="000000"/>
          <w:sz w:val="12"/>
          <w:szCs w:val="12"/>
        </w:rPr>
        <w:t xml:space="preserve"> ou autre charge </w:t>
      </w:r>
      <w:r w:rsidR="00DA583F" w:rsidRPr="00931836">
        <w:rPr>
          <w:color w:val="000000"/>
          <w:sz w:val="12"/>
          <w:szCs w:val="12"/>
        </w:rPr>
        <w:t xml:space="preserve">ne soit grevée </w:t>
      </w:r>
      <w:r w:rsidR="00B55ADC" w:rsidRPr="00931836">
        <w:rPr>
          <w:color w:val="000000"/>
          <w:sz w:val="12"/>
          <w:szCs w:val="12"/>
        </w:rPr>
        <w:t>sur le bien d’Interfor; étant entendu qu’Interfor peut, à son gré, effectuer la totalité ou une partie de ces paiements pour</w:t>
      </w:r>
      <w:r w:rsidR="00B55ADC" w:rsidRPr="00D66FF7">
        <w:rPr>
          <w:color w:val="000000"/>
          <w:sz w:val="12"/>
          <w:szCs w:val="12"/>
        </w:rPr>
        <w:t xml:space="preserve"> le compte du </w:t>
      </w:r>
      <w:r w:rsidR="00CE4FA4">
        <w:rPr>
          <w:color w:val="000000"/>
          <w:sz w:val="12"/>
          <w:szCs w:val="12"/>
        </w:rPr>
        <w:t>Fournisseur</w:t>
      </w:r>
      <w:r w:rsidR="00B55ADC" w:rsidRPr="00D66FF7">
        <w:rPr>
          <w:color w:val="000000"/>
          <w:sz w:val="12"/>
          <w:szCs w:val="12"/>
        </w:rPr>
        <w:t xml:space="preserve"> et que le montant de ces paiements effectués par Interfor </w:t>
      </w:r>
      <w:r w:rsidR="00860DDD">
        <w:rPr>
          <w:color w:val="000000"/>
          <w:sz w:val="12"/>
          <w:szCs w:val="12"/>
        </w:rPr>
        <w:t>constitue</w:t>
      </w:r>
      <w:r w:rsidR="00B55ADC" w:rsidRPr="00D66FF7">
        <w:rPr>
          <w:color w:val="000000"/>
          <w:sz w:val="12"/>
          <w:szCs w:val="12"/>
        </w:rPr>
        <w:t xml:space="preserve"> une dette </w:t>
      </w:r>
      <w:r w:rsidR="00D53F21">
        <w:rPr>
          <w:color w:val="000000"/>
          <w:sz w:val="12"/>
          <w:szCs w:val="12"/>
        </w:rPr>
        <w:t>exigible et payable</w:t>
      </w:r>
      <w:r w:rsidR="00B55ADC" w:rsidRPr="00D66FF7">
        <w:rPr>
          <w:color w:val="000000"/>
          <w:sz w:val="12"/>
          <w:szCs w:val="12"/>
        </w:rPr>
        <w:t xml:space="preserve"> par le </w:t>
      </w:r>
      <w:r w:rsidR="00CE4FA4">
        <w:rPr>
          <w:color w:val="000000"/>
          <w:sz w:val="12"/>
          <w:szCs w:val="12"/>
        </w:rPr>
        <w:t>Fournisseur</w:t>
      </w:r>
      <w:r w:rsidR="00B55ADC" w:rsidRPr="00D66FF7">
        <w:rPr>
          <w:color w:val="000000"/>
          <w:sz w:val="12"/>
          <w:szCs w:val="12"/>
        </w:rPr>
        <w:t xml:space="preserve"> à Interfor. Interfor peut, à son gré, déduire un</w:t>
      </w:r>
      <w:r w:rsidR="002A5879">
        <w:rPr>
          <w:color w:val="000000"/>
          <w:sz w:val="12"/>
          <w:szCs w:val="12"/>
        </w:rPr>
        <w:t xml:space="preserve"> montant</w:t>
      </w:r>
      <w:r w:rsidR="00B55ADC" w:rsidRPr="00D66FF7">
        <w:rPr>
          <w:color w:val="000000"/>
          <w:sz w:val="12"/>
          <w:szCs w:val="12"/>
        </w:rPr>
        <w:t xml:space="preserve"> égal à la totalité ou à une partie de cette dette de tout paiement qui peut être ou dev</w:t>
      </w:r>
      <w:r w:rsidR="002515AA">
        <w:rPr>
          <w:color w:val="000000"/>
          <w:sz w:val="12"/>
          <w:szCs w:val="12"/>
        </w:rPr>
        <w:t xml:space="preserve">enir </w:t>
      </w:r>
      <w:r w:rsidR="00B55ADC" w:rsidRPr="00D66FF7">
        <w:rPr>
          <w:color w:val="000000"/>
          <w:sz w:val="12"/>
          <w:szCs w:val="12"/>
        </w:rPr>
        <w:t xml:space="preserve">exigible et dû par Interfor au </w:t>
      </w:r>
      <w:r w:rsidR="00CE4FA4">
        <w:rPr>
          <w:color w:val="000000"/>
          <w:sz w:val="12"/>
          <w:szCs w:val="12"/>
        </w:rPr>
        <w:t>Fournisseur</w:t>
      </w:r>
      <w:r w:rsidR="00B55ADC" w:rsidRPr="00D66FF7">
        <w:rPr>
          <w:color w:val="000000"/>
          <w:sz w:val="12"/>
          <w:szCs w:val="12"/>
        </w:rPr>
        <w:t xml:space="preserve"> aux termes de la présente </w:t>
      </w:r>
      <w:r w:rsidR="006E7785">
        <w:rPr>
          <w:color w:val="000000"/>
          <w:sz w:val="12"/>
          <w:szCs w:val="12"/>
        </w:rPr>
        <w:t>Convention</w:t>
      </w:r>
      <w:r w:rsidR="00B55ADC" w:rsidRPr="00D66FF7">
        <w:rPr>
          <w:color w:val="000000"/>
          <w:sz w:val="12"/>
          <w:szCs w:val="12"/>
        </w:rPr>
        <w:t xml:space="preserve"> ou autrement.</w:t>
      </w:r>
    </w:p>
    <w:p w14:paraId="22A4B4E6" w14:textId="5EC7469A" w:rsidR="00B55ADC" w:rsidRPr="00D66FF7" w:rsidRDefault="005178D2" w:rsidP="00D66FF7">
      <w:pPr>
        <w:pStyle w:val="ListParagraph"/>
        <w:numPr>
          <w:ilvl w:val="0"/>
          <w:numId w:val="1"/>
        </w:numPr>
        <w:tabs>
          <w:tab w:val="left" w:pos="292"/>
        </w:tabs>
        <w:spacing w:after="120"/>
        <w:ind w:left="0" w:right="0" w:firstLine="0"/>
        <w:rPr>
          <w:bCs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>PRESTATION</w:t>
      </w:r>
      <w:r w:rsidR="00B55ADC" w:rsidRPr="00B55ADC">
        <w:rPr>
          <w:b/>
          <w:color w:val="000000"/>
          <w:sz w:val="12"/>
          <w:szCs w:val="12"/>
        </w:rPr>
        <w:t xml:space="preserve"> DES </w:t>
      </w:r>
      <w:r w:rsidR="00CE4FA4">
        <w:rPr>
          <w:b/>
          <w:color w:val="000000"/>
          <w:sz w:val="12"/>
          <w:szCs w:val="12"/>
        </w:rPr>
        <w:t>SERVICES</w:t>
      </w:r>
      <w:r w:rsidR="00B55ADC" w:rsidRPr="00CD1E62">
        <w:rPr>
          <w:bCs/>
          <w:color w:val="000000"/>
          <w:sz w:val="12"/>
          <w:szCs w:val="12"/>
        </w:rPr>
        <w:t>.</w:t>
      </w:r>
      <w:r w:rsidR="00B55ADC" w:rsidRPr="00D66FF7">
        <w:rPr>
          <w:b/>
          <w:color w:val="000000"/>
          <w:sz w:val="12"/>
          <w:szCs w:val="12"/>
        </w:rPr>
        <w:t xml:space="preserve"> </w:t>
      </w:r>
      <w:r w:rsidR="00B55ADC" w:rsidRPr="00D66FF7">
        <w:rPr>
          <w:bCs/>
          <w:color w:val="000000"/>
          <w:sz w:val="12"/>
          <w:szCs w:val="12"/>
        </w:rPr>
        <w:t xml:space="preserve">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doit e</w:t>
      </w:r>
      <w:r w:rsidR="000C692C">
        <w:rPr>
          <w:bCs/>
          <w:color w:val="000000"/>
          <w:sz w:val="12"/>
          <w:szCs w:val="12"/>
        </w:rPr>
        <w:t>ffectuer la prestation d</w:t>
      </w:r>
      <w:r w:rsidR="00B55ADC" w:rsidRPr="00D66FF7">
        <w:rPr>
          <w:bCs/>
          <w:color w:val="000000"/>
          <w:sz w:val="12"/>
          <w:szCs w:val="12"/>
        </w:rPr>
        <w:t xml:space="preserve">es </w:t>
      </w:r>
      <w:r w:rsidR="00CE4FA4">
        <w:rPr>
          <w:bCs/>
          <w:color w:val="000000"/>
          <w:sz w:val="12"/>
          <w:szCs w:val="12"/>
        </w:rPr>
        <w:t>Services</w:t>
      </w:r>
      <w:r w:rsidR="00B55ADC" w:rsidRPr="00D66FF7">
        <w:rPr>
          <w:bCs/>
          <w:color w:val="000000"/>
          <w:sz w:val="12"/>
          <w:szCs w:val="12"/>
        </w:rPr>
        <w:t xml:space="preserve"> aux emplacements indiqués dans le </w:t>
      </w:r>
      <w:r w:rsidR="00566233">
        <w:rPr>
          <w:bCs/>
          <w:color w:val="000000"/>
          <w:sz w:val="12"/>
          <w:szCs w:val="12"/>
        </w:rPr>
        <w:t>bon de commande</w:t>
      </w:r>
      <w:r w:rsidR="00B55ADC" w:rsidRPr="00D66FF7">
        <w:rPr>
          <w:bCs/>
          <w:color w:val="000000"/>
          <w:sz w:val="12"/>
          <w:szCs w:val="12"/>
        </w:rPr>
        <w:t xml:space="preserve">. 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doit e</w:t>
      </w:r>
      <w:r w:rsidR="000C692C">
        <w:rPr>
          <w:bCs/>
          <w:color w:val="000000"/>
          <w:sz w:val="12"/>
          <w:szCs w:val="12"/>
        </w:rPr>
        <w:t>ffectuer la prestation de</w:t>
      </w:r>
      <w:r w:rsidR="00B55ADC" w:rsidRPr="00D66FF7">
        <w:rPr>
          <w:bCs/>
          <w:color w:val="000000"/>
          <w:sz w:val="12"/>
          <w:szCs w:val="12"/>
        </w:rPr>
        <w:t xml:space="preserve"> tous les </w:t>
      </w:r>
      <w:r w:rsidR="00CE4FA4">
        <w:rPr>
          <w:bCs/>
          <w:color w:val="000000"/>
          <w:sz w:val="12"/>
          <w:szCs w:val="12"/>
        </w:rPr>
        <w:t>Services</w:t>
      </w:r>
      <w:r w:rsidR="00B55ADC" w:rsidRPr="00D66FF7">
        <w:rPr>
          <w:bCs/>
          <w:color w:val="000000"/>
          <w:sz w:val="12"/>
          <w:szCs w:val="12"/>
        </w:rPr>
        <w:t xml:space="preserve"> de manière compétente et professionnelle, et en respectant la</w:t>
      </w:r>
      <w:r w:rsidR="00911854">
        <w:rPr>
          <w:bCs/>
          <w:color w:val="000000"/>
          <w:sz w:val="12"/>
          <w:szCs w:val="12"/>
        </w:rPr>
        <w:t xml:space="preserve"> norme de compétence et de diligence raisonnable et comparable à des personnes </w:t>
      </w:r>
      <w:r w:rsidR="00B55ADC" w:rsidRPr="00D66FF7">
        <w:rPr>
          <w:bCs/>
          <w:color w:val="000000"/>
          <w:sz w:val="12"/>
          <w:szCs w:val="12"/>
        </w:rPr>
        <w:t xml:space="preserve">qui fournissent des </w:t>
      </w:r>
      <w:r w:rsidR="00CE4FA4">
        <w:rPr>
          <w:bCs/>
          <w:color w:val="000000"/>
          <w:sz w:val="12"/>
          <w:szCs w:val="12"/>
        </w:rPr>
        <w:t>Services</w:t>
      </w:r>
      <w:r w:rsidR="00B55ADC" w:rsidRPr="00D66FF7">
        <w:rPr>
          <w:bCs/>
          <w:color w:val="000000"/>
          <w:sz w:val="12"/>
          <w:szCs w:val="12"/>
        </w:rPr>
        <w:t xml:space="preserve"> similaires. 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doit </w:t>
      </w:r>
      <w:r w:rsidR="000F3F90">
        <w:rPr>
          <w:bCs/>
          <w:color w:val="000000"/>
          <w:sz w:val="12"/>
          <w:szCs w:val="12"/>
        </w:rPr>
        <w:t>corriger</w:t>
      </w:r>
      <w:r w:rsidR="00B55ADC" w:rsidRPr="00D66FF7">
        <w:rPr>
          <w:bCs/>
          <w:color w:val="000000"/>
          <w:sz w:val="12"/>
          <w:szCs w:val="12"/>
        </w:rPr>
        <w:t xml:space="preserve"> à ses frais tout vice ou toute </w:t>
      </w:r>
      <w:r w:rsidR="00A90C80">
        <w:rPr>
          <w:bCs/>
          <w:color w:val="000000"/>
          <w:sz w:val="12"/>
          <w:szCs w:val="12"/>
        </w:rPr>
        <w:t>déf</w:t>
      </w:r>
      <w:r w:rsidR="00892D4D">
        <w:rPr>
          <w:bCs/>
          <w:color w:val="000000"/>
          <w:sz w:val="12"/>
          <w:szCs w:val="12"/>
        </w:rPr>
        <w:t>aillance</w:t>
      </w:r>
      <w:r w:rsidR="00A90C80">
        <w:rPr>
          <w:bCs/>
          <w:color w:val="000000"/>
          <w:sz w:val="12"/>
          <w:szCs w:val="12"/>
        </w:rPr>
        <w:t xml:space="preserve"> ou </w:t>
      </w:r>
      <w:r w:rsidR="00B55ADC" w:rsidRPr="00D66FF7">
        <w:rPr>
          <w:bCs/>
          <w:color w:val="000000"/>
          <w:sz w:val="12"/>
          <w:szCs w:val="12"/>
        </w:rPr>
        <w:t xml:space="preserve">lacune dans les </w:t>
      </w:r>
      <w:r w:rsidR="009D01AC">
        <w:rPr>
          <w:bCs/>
          <w:color w:val="000000"/>
          <w:sz w:val="12"/>
          <w:szCs w:val="12"/>
        </w:rPr>
        <w:t>s</w:t>
      </w:r>
      <w:r w:rsidR="00CE4FA4">
        <w:rPr>
          <w:bCs/>
          <w:color w:val="000000"/>
          <w:sz w:val="12"/>
          <w:szCs w:val="12"/>
        </w:rPr>
        <w:t>ervices</w:t>
      </w:r>
      <w:r w:rsidR="00B55ADC" w:rsidRPr="00D66FF7">
        <w:rPr>
          <w:bCs/>
          <w:color w:val="000000"/>
          <w:sz w:val="12"/>
          <w:szCs w:val="12"/>
        </w:rPr>
        <w:t xml:space="preserve"> liés </w:t>
      </w:r>
      <w:r w:rsidR="00A90C80">
        <w:rPr>
          <w:bCs/>
          <w:color w:val="000000"/>
          <w:sz w:val="12"/>
          <w:szCs w:val="12"/>
        </w:rPr>
        <w:t xml:space="preserve">à la </w:t>
      </w:r>
      <w:r w:rsidR="006F7DDA">
        <w:rPr>
          <w:bCs/>
          <w:color w:val="000000"/>
          <w:sz w:val="12"/>
          <w:szCs w:val="12"/>
        </w:rPr>
        <w:t>main-d’œuvre</w:t>
      </w:r>
      <w:r w:rsidR="00B55ADC" w:rsidRPr="00D66FF7">
        <w:rPr>
          <w:bCs/>
          <w:color w:val="000000"/>
          <w:sz w:val="12"/>
          <w:szCs w:val="12"/>
        </w:rPr>
        <w:t xml:space="preserve"> et au matériel qui devient apparent dans les </w:t>
      </w:r>
      <w:r w:rsidR="008F1F5F">
        <w:rPr>
          <w:bCs/>
          <w:color w:val="000000"/>
          <w:sz w:val="12"/>
          <w:szCs w:val="12"/>
        </w:rPr>
        <w:t>douze (</w:t>
      </w:r>
      <w:r w:rsidR="00B55ADC" w:rsidRPr="00D66FF7">
        <w:rPr>
          <w:bCs/>
          <w:color w:val="000000"/>
          <w:sz w:val="12"/>
          <w:szCs w:val="12"/>
        </w:rPr>
        <w:t>12</w:t>
      </w:r>
      <w:r w:rsidR="008F1F5F">
        <w:rPr>
          <w:bCs/>
          <w:color w:val="000000"/>
          <w:sz w:val="12"/>
          <w:szCs w:val="12"/>
        </w:rPr>
        <w:t>)</w:t>
      </w:r>
      <w:r w:rsidR="00B55ADC" w:rsidRPr="00D66FF7">
        <w:rPr>
          <w:bCs/>
          <w:color w:val="000000"/>
          <w:sz w:val="12"/>
          <w:szCs w:val="12"/>
        </w:rPr>
        <w:t xml:space="preserve"> mois suivant la réalisation de la prestation des </w:t>
      </w:r>
      <w:r w:rsidR="00CE4FA4">
        <w:rPr>
          <w:bCs/>
          <w:color w:val="000000"/>
          <w:sz w:val="12"/>
          <w:szCs w:val="12"/>
        </w:rPr>
        <w:t>Services</w:t>
      </w:r>
      <w:r w:rsidR="00B55ADC" w:rsidRPr="00D66FF7">
        <w:rPr>
          <w:bCs/>
          <w:color w:val="000000"/>
          <w:sz w:val="12"/>
          <w:szCs w:val="12"/>
        </w:rPr>
        <w:t xml:space="preserve"> aux termes des présentes. 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est qualifié </w:t>
      </w:r>
      <w:r w:rsidR="00A90C80">
        <w:rPr>
          <w:bCs/>
          <w:color w:val="000000"/>
          <w:sz w:val="12"/>
          <w:szCs w:val="12"/>
        </w:rPr>
        <w:t xml:space="preserve">et compétent </w:t>
      </w:r>
      <w:r w:rsidR="00B55ADC" w:rsidRPr="00D66FF7">
        <w:rPr>
          <w:bCs/>
          <w:color w:val="000000"/>
          <w:sz w:val="12"/>
          <w:szCs w:val="12"/>
        </w:rPr>
        <w:t>pour e</w:t>
      </w:r>
      <w:r w:rsidR="006F7DDA">
        <w:rPr>
          <w:bCs/>
          <w:color w:val="000000"/>
          <w:sz w:val="12"/>
          <w:szCs w:val="12"/>
        </w:rPr>
        <w:t>ffectuer la prestation</w:t>
      </w:r>
      <w:r w:rsidR="00B55ADC" w:rsidRPr="00D66FF7">
        <w:rPr>
          <w:bCs/>
          <w:color w:val="000000"/>
          <w:sz w:val="12"/>
          <w:szCs w:val="12"/>
        </w:rPr>
        <w:t xml:space="preserve"> </w:t>
      </w:r>
      <w:r w:rsidR="006F7DDA">
        <w:rPr>
          <w:bCs/>
          <w:color w:val="000000"/>
          <w:sz w:val="12"/>
          <w:szCs w:val="12"/>
        </w:rPr>
        <w:t>d</w:t>
      </w:r>
      <w:r w:rsidR="00B55ADC" w:rsidRPr="00D66FF7">
        <w:rPr>
          <w:bCs/>
          <w:color w:val="000000"/>
          <w:sz w:val="12"/>
          <w:szCs w:val="12"/>
        </w:rPr>
        <w:t xml:space="preserve">es </w:t>
      </w:r>
      <w:r w:rsidR="00CE4FA4">
        <w:rPr>
          <w:bCs/>
          <w:color w:val="000000"/>
          <w:sz w:val="12"/>
          <w:szCs w:val="12"/>
        </w:rPr>
        <w:t>Services</w:t>
      </w:r>
      <w:r w:rsidR="00B55ADC" w:rsidRPr="00D66FF7">
        <w:rPr>
          <w:bCs/>
          <w:color w:val="000000"/>
          <w:sz w:val="12"/>
          <w:szCs w:val="12"/>
        </w:rPr>
        <w:t xml:space="preserve"> énumérés aux présentes et doit maintenir tous les </w:t>
      </w:r>
      <w:r w:rsidR="006F7DDA">
        <w:rPr>
          <w:bCs/>
          <w:color w:val="000000"/>
          <w:sz w:val="12"/>
          <w:szCs w:val="12"/>
        </w:rPr>
        <w:t xml:space="preserve">permis, </w:t>
      </w:r>
      <w:r w:rsidR="00B55ADC" w:rsidRPr="00D66FF7">
        <w:rPr>
          <w:bCs/>
          <w:color w:val="000000"/>
          <w:sz w:val="12"/>
          <w:szCs w:val="12"/>
        </w:rPr>
        <w:t xml:space="preserve">licences, </w:t>
      </w:r>
      <w:r w:rsidR="00F938F3">
        <w:rPr>
          <w:bCs/>
          <w:color w:val="000000"/>
          <w:sz w:val="12"/>
          <w:szCs w:val="12"/>
        </w:rPr>
        <w:t xml:space="preserve">enregistrements </w:t>
      </w:r>
      <w:r w:rsidR="00B55ADC" w:rsidRPr="00D66FF7">
        <w:rPr>
          <w:bCs/>
          <w:color w:val="000000"/>
          <w:sz w:val="12"/>
          <w:szCs w:val="12"/>
        </w:rPr>
        <w:t>et inscriptions valides exigés par la loi pour exécuter</w:t>
      </w:r>
      <w:r w:rsidR="00D1150C">
        <w:rPr>
          <w:bCs/>
          <w:color w:val="000000"/>
          <w:sz w:val="12"/>
          <w:szCs w:val="12"/>
        </w:rPr>
        <w:t xml:space="preserve"> et fournir</w:t>
      </w:r>
      <w:r w:rsidR="00B55ADC" w:rsidRPr="00D66FF7">
        <w:rPr>
          <w:bCs/>
          <w:color w:val="000000"/>
          <w:sz w:val="12"/>
          <w:szCs w:val="12"/>
        </w:rPr>
        <w:t xml:space="preserve"> les </w:t>
      </w:r>
      <w:r w:rsidR="00CE4FA4">
        <w:rPr>
          <w:bCs/>
          <w:color w:val="000000"/>
          <w:sz w:val="12"/>
          <w:szCs w:val="12"/>
        </w:rPr>
        <w:t>Services</w:t>
      </w:r>
      <w:r w:rsidR="00B55ADC" w:rsidRPr="00D66FF7">
        <w:rPr>
          <w:bCs/>
          <w:color w:val="000000"/>
          <w:sz w:val="12"/>
          <w:szCs w:val="12"/>
        </w:rPr>
        <w:t xml:space="preserve">. 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doit</w:t>
      </w:r>
      <w:r w:rsidR="00B55ADC" w:rsidRPr="00D66FF7">
        <w:rPr>
          <w:b/>
          <w:color w:val="000000"/>
          <w:sz w:val="12"/>
          <w:szCs w:val="12"/>
        </w:rPr>
        <w:t xml:space="preserve"> </w:t>
      </w:r>
      <w:r w:rsidR="00B55ADC" w:rsidRPr="00D66FF7">
        <w:rPr>
          <w:bCs/>
          <w:color w:val="000000"/>
          <w:sz w:val="12"/>
          <w:szCs w:val="12"/>
        </w:rPr>
        <w:t>veiller à ce que tou</w:t>
      </w:r>
      <w:r w:rsidR="00F73FB7">
        <w:rPr>
          <w:bCs/>
          <w:color w:val="000000"/>
          <w:sz w:val="12"/>
          <w:szCs w:val="12"/>
        </w:rPr>
        <w:t>s l</w:t>
      </w:r>
      <w:r w:rsidR="00B55ADC" w:rsidRPr="00D66FF7">
        <w:rPr>
          <w:bCs/>
          <w:color w:val="000000"/>
          <w:sz w:val="12"/>
          <w:szCs w:val="12"/>
        </w:rPr>
        <w:t xml:space="preserve">es employés ou sous-traitants du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arrivent en bon état</w:t>
      </w:r>
      <w:r w:rsidR="00B55ADC" w:rsidRPr="00D66FF7">
        <w:rPr>
          <w:b/>
          <w:color w:val="000000"/>
          <w:sz w:val="12"/>
          <w:szCs w:val="12"/>
        </w:rPr>
        <w:t xml:space="preserve"> </w:t>
      </w:r>
      <w:r w:rsidR="00B55ADC" w:rsidRPr="00D66FF7">
        <w:rPr>
          <w:bCs/>
          <w:color w:val="000000"/>
          <w:sz w:val="12"/>
          <w:szCs w:val="12"/>
        </w:rPr>
        <w:t>physique</w:t>
      </w:r>
      <w:r w:rsidR="00096776">
        <w:rPr>
          <w:bCs/>
          <w:color w:val="000000"/>
          <w:sz w:val="12"/>
          <w:szCs w:val="12"/>
        </w:rPr>
        <w:t>, aptes</w:t>
      </w:r>
      <w:r w:rsidR="001B7911">
        <w:rPr>
          <w:bCs/>
          <w:color w:val="000000"/>
          <w:sz w:val="12"/>
          <w:szCs w:val="12"/>
        </w:rPr>
        <w:t>,</w:t>
      </w:r>
      <w:r w:rsidR="00B55ADC" w:rsidRPr="00D66FF7">
        <w:rPr>
          <w:bCs/>
          <w:color w:val="000000"/>
          <w:sz w:val="12"/>
          <w:szCs w:val="12"/>
        </w:rPr>
        <w:t xml:space="preserve"> et en mesure d’exécuter </w:t>
      </w:r>
      <w:r w:rsidR="00D1150C">
        <w:rPr>
          <w:bCs/>
          <w:color w:val="000000"/>
          <w:sz w:val="12"/>
          <w:szCs w:val="12"/>
        </w:rPr>
        <w:t xml:space="preserve">et de fournir </w:t>
      </w:r>
      <w:r w:rsidR="00B55ADC" w:rsidRPr="00D66FF7">
        <w:rPr>
          <w:bCs/>
          <w:color w:val="000000"/>
          <w:sz w:val="12"/>
          <w:szCs w:val="12"/>
        </w:rPr>
        <w:t xml:space="preserve">les </w:t>
      </w:r>
      <w:r w:rsidR="00CE4FA4">
        <w:rPr>
          <w:bCs/>
          <w:color w:val="000000"/>
          <w:sz w:val="12"/>
          <w:szCs w:val="12"/>
        </w:rPr>
        <w:t>Services</w:t>
      </w:r>
      <w:r w:rsidR="00B55ADC" w:rsidRPr="00D66FF7">
        <w:rPr>
          <w:bCs/>
          <w:color w:val="000000"/>
          <w:sz w:val="12"/>
          <w:szCs w:val="12"/>
        </w:rPr>
        <w:t>.</w:t>
      </w:r>
    </w:p>
    <w:p w14:paraId="1509E919" w14:textId="269E076D" w:rsidR="00B55ADC" w:rsidRPr="00D66FF7" w:rsidRDefault="00D66FF7" w:rsidP="00B55ADC">
      <w:pPr>
        <w:pStyle w:val="ListParagraph"/>
        <w:numPr>
          <w:ilvl w:val="0"/>
          <w:numId w:val="1"/>
        </w:numPr>
        <w:tabs>
          <w:tab w:val="left" w:pos="292"/>
        </w:tabs>
        <w:spacing w:after="120"/>
        <w:ind w:left="0" w:right="0" w:firstLine="0"/>
        <w:rPr>
          <w:b/>
          <w:color w:val="000000"/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SANTÉ ET SÉCURITÉ</w:t>
      </w:r>
      <w:r w:rsidRPr="007707B7">
        <w:rPr>
          <w:bCs/>
          <w:color w:val="000000"/>
          <w:sz w:val="12"/>
          <w:szCs w:val="12"/>
        </w:rPr>
        <w:t>.</w:t>
      </w:r>
      <w:r w:rsidRPr="00D66FF7">
        <w:rPr>
          <w:b/>
          <w:color w:val="000000"/>
          <w:sz w:val="12"/>
          <w:szCs w:val="12"/>
        </w:rPr>
        <w:t xml:space="preserve"> </w:t>
      </w:r>
      <w:r w:rsidR="00B55ADC" w:rsidRPr="00D66FF7">
        <w:rPr>
          <w:bCs/>
          <w:color w:val="000000"/>
          <w:sz w:val="12"/>
          <w:szCs w:val="12"/>
        </w:rPr>
        <w:t xml:space="preserve">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est seul responsable de la sécurité des administrateurs, dirigeants, employés, entrepreneurs, sous-traitants</w:t>
      </w:r>
      <w:r w:rsidR="0091556A">
        <w:rPr>
          <w:bCs/>
          <w:color w:val="000000"/>
          <w:sz w:val="12"/>
          <w:szCs w:val="12"/>
        </w:rPr>
        <w:t>, agents</w:t>
      </w:r>
      <w:r w:rsidR="00B55ADC" w:rsidRPr="00D66FF7">
        <w:rPr>
          <w:bCs/>
          <w:color w:val="000000"/>
          <w:sz w:val="12"/>
          <w:szCs w:val="12"/>
        </w:rPr>
        <w:t xml:space="preserve"> ou mandataires du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(collectivement,</w:t>
      </w:r>
      <w:r w:rsidR="009D01AC">
        <w:rPr>
          <w:bCs/>
          <w:color w:val="000000"/>
          <w:sz w:val="12"/>
          <w:szCs w:val="12"/>
        </w:rPr>
        <w:t xml:space="preserve"> les</w:t>
      </w:r>
      <w:r w:rsidR="00B55ADC" w:rsidRPr="00D66FF7">
        <w:rPr>
          <w:bCs/>
          <w:color w:val="000000"/>
          <w:sz w:val="12"/>
          <w:szCs w:val="12"/>
        </w:rPr>
        <w:t xml:space="preserve"> « </w:t>
      </w:r>
      <w:r w:rsidR="00CE4FA4">
        <w:rPr>
          <w:b/>
          <w:color w:val="000000"/>
          <w:sz w:val="12"/>
          <w:szCs w:val="12"/>
        </w:rPr>
        <w:t>Représentants</w:t>
      </w:r>
      <w:r w:rsidR="00B55ADC" w:rsidRPr="00D66FF7">
        <w:rPr>
          <w:bCs/>
          <w:color w:val="000000"/>
          <w:sz w:val="12"/>
          <w:szCs w:val="12"/>
        </w:rPr>
        <w:t xml:space="preserve"> ») sur tout site d’Interfor, et 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veille à ce que les </w:t>
      </w:r>
      <w:r w:rsidR="00CE4FA4">
        <w:rPr>
          <w:bCs/>
          <w:color w:val="000000"/>
          <w:sz w:val="12"/>
          <w:szCs w:val="12"/>
        </w:rPr>
        <w:t>Représentants</w:t>
      </w:r>
      <w:r w:rsidR="00B55ADC" w:rsidRPr="00D66FF7">
        <w:rPr>
          <w:bCs/>
          <w:color w:val="000000"/>
          <w:sz w:val="12"/>
          <w:szCs w:val="12"/>
        </w:rPr>
        <w:t xml:space="preserve"> reçoivent une formation complète à l’égard de l’ensemble des lois, règles, règlements, politiques et instructions en matière de santé, s</w:t>
      </w:r>
      <w:r w:rsidR="00A35A19">
        <w:rPr>
          <w:bCs/>
          <w:color w:val="000000"/>
          <w:sz w:val="12"/>
          <w:szCs w:val="12"/>
        </w:rPr>
        <w:t>ûre</w:t>
      </w:r>
      <w:r w:rsidR="00B55ADC" w:rsidRPr="00D66FF7">
        <w:rPr>
          <w:bCs/>
          <w:color w:val="000000"/>
          <w:sz w:val="12"/>
          <w:szCs w:val="12"/>
        </w:rPr>
        <w:t>té et sécurité que précise Interfor</w:t>
      </w:r>
      <w:r w:rsidR="00C5648C">
        <w:rPr>
          <w:bCs/>
          <w:color w:val="000000"/>
          <w:sz w:val="12"/>
          <w:szCs w:val="12"/>
        </w:rPr>
        <w:t xml:space="preserve"> à tout moment</w:t>
      </w:r>
      <w:r w:rsidR="00B55ADC" w:rsidRPr="00D66FF7">
        <w:rPr>
          <w:bCs/>
          <w:color w:val="000000"/>
          <w:sz w:val="12"/>
          <w:szCs w:val="12"/>
        </w:rPr>
        <w:t xml:space="preserve">. Dans tous les cas où Interfor est d’avis qu’un travail, une installation ou </w:t>
      </w:r>
      <w:r w:rsidR="008B0B2A">
        <w:rPr>
          <w:bCs/>
          <w:color w:val="000000"/>
          <w:sz w:val="12"/>
          <w:szCs w:val="12"/>
        </w:rPr>
        <w:t>des</w:t>
      </w:r>
      <w:r w:rsidR="00B55ADC" w:rsidRPr="00D66FF7">
        <w:rPr>
          <w:bCs/>
          <w:color w:val="000000"/>
          <w:sz w:val="12"/>
          <w:szCs w:val="12"/>
        </w:rPr>
        <w:t xml:space="preserve"> </w:t>
      </w:r>
      <w:r w:rsidR="00CE4FA4">
        <w:rPr>
          <w:bCs/>
          <w:color w:val="000000"/>
          <w:sz w:val="12"/>
          <w:szCs w:val="12"/>
        </w:rPr>
        <w:t>Services</w:t>
      </w:r>
      <w:r w:rsidR="00B55ADC" w:rsidRPr="00D66FF7">
        <w:rPr>
          <w:bCs/>
          <w:color w:val="000000"/>
          <w:sz w:val="12"/>
          <w:szCs w:val="12"/>
        </w:rPr>
        <w:t xml:space="preserve"> exécuté</w:t>
      </w:r>
      <w:r w:rsidR="008B0B2A">
        <w:rPr>
          <w:bCs/>
          <w:color w:val="000000"/>
          <w:sz w:val="12"/>
          <w:szCs w:val="12"/>
        </w:rPr>
        <w:t>s</w:t>
      </w:r>
      <w:r w:rsidR="00B55ADC" w:rsidRPr="00D66FF7">
        <w:rPr>
          <w:bCs/>
          <w:color w:val="000000"/>
          <w:sz w:val="12"/>
          <w:szCs w:val="12"/>
        </w:rPr>
        <w:t xml:space="preserve"> par 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et/ou </w:t>
      </w:r>
      <w:r w:rsidR="008970E0">
        <w:rPr>
          <w:bCs/>
          <w:color w:val="000000"/>
          <w:sz w:val="12"/>
          <w:szCs w:val="12"/>
        </w:rPr>
        <w:t>l</w:t>
      </w:r>
      <w:r w:rsidR="00B55ADC" w:rsidRPr="00D66FF7">
        <w:rPr>
          <w:bCs/>
          <w:color w:val="000000"/>
          <w:sz w:val="12"/>
          <w:szCs w:val="12"/>
        </w:rPr>
        <w:t xml:space="preserve">es </w:t>
      </w:r>
      <w:r w:rsidR="00CE4FA4">
        <w:rPr>
          <w:bCs/>
          <w:color w:val="000000"/>
          <w:sz w:val="12"/>
          <w:szCs w:val="12"/>
        </w:rPr>
        <w:t>Représentants</w:t>
      </w:r>
      <w:r w:rsidR="00B55ADC" w:rsidRPr="00D66FF7">
        <w:rPr>
          <w:bCs/>
          <w:color w:val="000000"/>
          <w:sz w:val="12"/>
          <w:szCs w:val="12"/>
        </w:rPr>
        <w:t xml:space="preserve"> ne sont pas conformes à un bon de commande ou qu’il</w:t>
      </w:r>
      <w:r w:rsidR="003E7100">
        <w:rPr>
          <w:bCs/>
          <w:color w:val="000000"/>
          <w:sz w:val="12"/>
          <w:szCs w:val="12"/>
        </w:rPr>
        <w:t>s</w:t>
      </w:r>
      <w:r w:rsidR="00B55ADC" w:rsidRPr="00D66FF7">
        <w:rPr>
          <w:bCs/>
          <w:color w:val="000000"/>
          <w:sz w:val="12"/>
          <w:szCs w:val="12"/>
        </w:rPr>
        <w:t xml:space="preserve"> comporte</w:t>
      </w:r>
      <w:r w:rsidR="003E7100">
        <w:rPr>
          <w:bCs/>
          <w:color w:val="000000"/>
          <w:sz w:val="12"/>
          <w:szCs w:val="12"/>
        </w:rPr>
        <w:t>nt</w:t>
      </w:r>
      <w:r w:rsidR="00B55ADC" w:rsidRPr="00D66FF7">
        <w:rPr>
          <w:bCs/>
          <w:color w:val="000000"/>
          <w:sz w:val="12"/>
          <w:szCs w:val="12"/>
        </w:rPr>
        <w:t xml:space="preserve"> des risques inacceptables pour la santé et la sécurité d’une personne, Interfor peut, sans engager de responsabilité envers 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, suspendre immédiatement, en totalité ou en partie, l’exécution d’autres travaux, installations ou </w:t>
      </w:r>
      <w:r w:rsidR="00CE4FA4">
        <w:rPr>
          <w:bCs/>
          <w:color w:val="000000"/>
          <w:sz w:val="12"/>
          <w:szCs w:val="12"/>
        </w:rPr>
        <w:t>Services</w:t>
      </w:r>
      <w:r w:rsidR="00B55ADC" w:rsidRPr="00D66FF7">
        <w:rPr>
          <w:bCs/>
          <w:color w:val="000000"/>
          <w:sz w:val="12"/>
          <w:szCs w:val="12"/>
        </w:rPr>
        <w:t xml:space="preserve"> moyennant un avis écrit au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pendant </w:t>
      </w:r>
      <w:r w:rsidR="00C5648C">
        <w:rPr>
          <w:bCs/>
          <w:color w:val="000000"/>
          <w:sz w:val="12"/>
          <w:szCs w:val="12"/>
        </w:rPr>
        <w:t>toute</w:t>
      </w:r>
      <w:r w:rsidR="00B55ADC" w:rsidRPr="00D66FF7">
        <w:rPr>
          <w:bCs/>
          <w:color w:val="000000"/>
          <w:sz w:val="12"/>
          <w:szCs w:val="12"/>
        </w:rPr>
        <w:t xml:space="preserve"> période </w:t>
      </w:r>
      <w:r w:rsidR="00C5648C">
        <w:rPr>
          <w:bCs/>
          <w:color w:val="000000"/>
          <w:sz w:val="12"/>
          <w:szCs w:val="12"/>
        </w:rPr>
        <w:t>déterminée par Interfor.</w:t>
      </w:r>
    </w:p>
    <w:p w14:paraId="0D955D78" w14:textId="35FA38B4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292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ENTREPRENEUR</w:t>
      </w:r>
      <w:r w:rsidR="007707B7">
        <w:rPr>
          <w:b/>
          <w:color w:val="000000"/>
          <w:sz w:val="12"/>
          <w:szCs w:val="12"/>
        </w:rPr>
        <w:t xml:space="preserve"> PRINCIPAL</w:t>
      </w:r>
      <w:r w:rsidR="007707B7" w:rsidRPr="007707B7">
        <w:rPr>
          <w:bCs/>
          <w:color w:val="000000"/>
          <w:sz w:val="12"/>
          <w:szCs w:val="12"/>
        </w:rPr>
        <w:t>.</w:t>
      </w:r>
      <w:r w:rsidRPr="00B55ADC">
        <w:rPr>
          <w:b/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 xml:space="preserve">Sans que soit limitée la portée de ce qui précède, si les </w:t>
      </w:r>
      <w:r w:rsidR="00CE4FA4">
        <w:rPr>
          <w:color w:val="000000"/>
          <w:sz w:val="12"/>
          <w:szCs w:val="12"/>
        </w:rPr>
        <w:t xml:space="preserve">Biens/Services </w:t>
      </w:r>
      <w:r w:rsidRPr="00B55ADC">
        <w:rPr>
          <w:color w:val="000000"/>
          <w:sz w:val="12"/>
          <w:szCs w:val="12"/>
        </w:rPr>
        <w:t xml:space="preserve">sont livrés en Colombie-Britannique,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sera l</w:t>
      </w:r>
      <w:proofErr w:type="gramStart"/>
      <w:r>
        <w:rPr>
          <w:color w:val="000000"/>
          <w:sz w:val="12"/>
          <w:szCs w:val="12"/>
        </w:rPr>
        <w:t>’«</w:t>
      </w:r>
      <w:proofErr w:type="gramEnd"/>
      <w:r>
        <w:rPr>
          <w:color w:val="000000"/>
          <w:sz w:val="12"/>
          <w:szCs w:val="12"/>
        </w:rPr>
        <w:t> </w:t>
      </w:r>
      <w:r w:rsidRPr="00B55ADC">
        <w:rPr>
          <w:color w:val="000000"/>
          <w:sz w:val="12"/>
          <w:szCs w:val="12"/>
        </w:rPr>
        <w:t>entrepreneur principal</w:t>
      </w:r>
      <w:r>
        <w:rPr>
          <w:color w:val="000000"/>
          <w:sz w:val="12"/>
          <w:szCs w:val="12"/>
        </w:rPr>
        <w:t> »</w:t>
      </w:r>
      <w:r w:rsidRPr="00B55ADC">
        <w:rPr>
          <w:color w:val="000000"/>
          <w:sz w:val="12"/>
          <w:szCs w:val="12"/>
        </w:rPr>
        <w:t xml:space="preserve"> </w:t>
      </w:r>
      <w:r w:rsidR="00B02D1E">
        <w:rPr>
          <w:color w:val="000000"/>
          <w:sz w:val="12"/>
          <w:szCs w:val="12"/>
        </w:rPr>
        <w:t>aux fins de</w:t>
      </w:r>
      <w:r w:rsidRPr="00B55ADC">
        <w:rPr>
          <w:color w:val="000000"/>
          <w:sz w:val="12"/>
          <w:szCs w:val="12"/>
        </w:rPr>
        <w:t xml:space="preserve">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application de la partie 3 de la </w:t>
      </w:r>
      <w:r w:rsidR="00832E58">
        <w:rPr>
          <w:color w:val="000000"/>
          <w:sz w:val="12"/>
          <w:szCs w:val="12"/>
        </w:rPr>
        <w:t>l</w:t>
      </w:r>
      <w:r w:rsidRPr="00B55ADC">
        <w:rPr>
          <w:color w:val="000000"/>
          <w:sz w:val="12"/>
          <w:szCs w:val="12"/>
        </w:rPr>
        <w:t xml:space="preserve">oi </w:t>
      </w:r>
      <w:r w:rsidR="00660A7C">
        <w:rPr>
          <w:color w:val="000000"/>
          <w:sz w:val="12"/>
          <w:szCs w:val="12"/>
        </w:rPr>
        <w:t xml:space="preserve">de la Colombie-Britannique </w:t>
      </w:r>
      <w:r w:rsidR="00832E58">
        <w:rPr>
          <w:color w:val="000000"/>
          <w:sz w:val="12"/>
          <w:szCs w:val="12"/>
        </w:rPr>
        <w:t>intitulée</w:t>
      </w:r>
      <w:r w:rsidR="00660A7C">
        <w:rPr>
          <w:color w:val="000000"/>
          <w:sz w:val="12"/>
          <w:szCs w:val="12"/>
        </w:rPr>
        <w:t xml:space="preserve"> </w:t>
      </w:r>
      <w:bookmarkStart w:id="3" w:name="_Hlk94179512"/>
      <w:proofErr w:type="spellStart"/>
      <w:r w:rsidR="00660A7C" w:rsidRPr="00660A7C">
        <w:rPr>
          <w:i/>
          <w:iCs/>
          <w:color w:val="000000"/>
          <w:sz w:val="12"/>
          <w:szCs w:val="12"/>
        </w:rPr>
        <w:t>Workers</w:t>
      </w:r>
      <w:proofErr w:type="spellEnd"/>
      <w:r w:rsidR="00660A7C" w:rsidRPr="00660A7C">
        <w:rPr>
          <w:i/>
          <w:iCs/>
          <w:color w:val="000000"/>
          <w:sz w:val="12"/>
          <w:szCs w:val="12"/>
        </w:rPr>
        <w:t xml:space="preserve"> Compensation </w:t>
      </w:r>
      <w:proofErr w:type="spellStart"/>
      <w:r w:rsidR="00660A7C" w:rsidRPr="00660A7C">
        <w:rPr>
          <w:i/>
          <w:iCs/>
          <w:color w:val="000000"/>
          <w:sz w:val="12"/>
          <w:szCs w:val="12"/>
        </w:rPr>
        <w:t>Act</w:t>
      </w:r>
      <w:proofErr w:type="spellEnd"/>
      <w:r w:rsidR="00660A7C" w:rsidRPr="00660A7C">
        <w:rPr>
          <w:color w:val="000000"/>
          <w:sz w:val="12"/>
          <w:szCs w:val="12"/>
        </w:rPr>
        <w:t xml:space="preserve"> </w:t>
      </w:r>
      <w:bookmarkEnd w:id="3"/>
      <w:r w:rsidRPr="00B55ADC">
        <w:rPr>
          <w:color w:val="000000"/>
          <w:sz w:val="12"/>
          <w:szCs w:val="12"/>
        </w:rPr>
        <w:t>sur le lieu de travail ou à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autres endroits</w:t>
      </w:r>
      <w:r w:rsidR="00043981">
        <w:rPr>
          <w:color w:val="000000"/>
          <w:sz w:val="12"/>
          <w:szCs w:val="12"/>
        </w:rPr>
        <w:t xml:space="preserve"> ou emplacements</w:t>
      </w:r>
      <w:r w:rsidRPr="00B55ADC">
        <w:rPr>
          <w:color w:val="000000"/>
          <w:sz w:val="12"/>
          <w:szCs w:val="12"/>
        </w:rPr>
        <w:t xml:space="preserve"> utilisés comme </w:t>
      </w:r>
      <w:r>
        <w:rPr>
          <w:color w:val="000000"/>
          <w:sz w:val="12"/>
          <w:szCs w:val="12"/>
        </w:rPr>
        <w:t>« </w:t>
      </w:r>
      <w:r w:rsidRPr="00B55ADC">
        <w:rPr>
          <w:color w:val="000000"/>
          <w:sz w:val="12"/>
          <w:szCs w:val="12"/>
        </w:rPr>
        <w:t>lieu de travail</w:t>
      </w:r>
      <w:r>
        <w:rPr>
          <w:color w:val="000000"/>
          <w:sz w:val="12"/>
          <w:szCs w:val="12"/>
        </w:rPr>
        <w:t> »</w:t>
      </w:r>
      <w:r w:rsidRPr="00B55ADC">
        <w:rPr>
          <w:color w:val="000000"/>
          <w:sz w:val="12"/>
          <w:szCs w:val="12"/>
        </w:rPr>
        <w:t xml:space="preserve"> (au sens de </w:t>
      </w:r>
      <w:r w:rsidR="00965EEE" w:rsidRPr="00965EEE">
        <w:rPr>
          <w:i/>
          <w:iCs/>
          <w:color w:val="000000"/>
          <w:sz w:val="12"/>
          <w:szCs w:val="12"/>
        </w:rPr>
        <w:t>Workplace</w:t>
      </w:r>
      <w:r w:rsidR="00965EEE">
        <w:rPr>
          <w:color w:val="000000"/>
          <w:sz w:val="12"/>
          <w:szCs w:val="12"/>
        </w:rPr>
        <w:t xml:space="preserve"> dans </w:t>
      </w:r>
      <w:r w:rsidRPr="00B55ADC">
        <w:rPr>
          <w:color w:val="000000"/>
          <w:sz w:val="12"/>
          <w:szCs w:val="12"/>
        </w:rPr>
        <w:t xml:space="preserve">la </w:t>
      </w:r>
      <w:r w:rsidR="00965EEE">
        <w:rPr>
          <w:color w:val="000000"/>
          <w:sz w:val="12"/>
          <w:szCs w:val="12"/>
        </w:rPr>
        <w:t>l</w:t>
      </w:r>
      <w:r w:rsidRPr="00B55ADC">
        <w:rPr>
          <w:color w:val="000000"/>
          <w:sz w:val="12"/>
          <w:szCs w:val="12"/>
        </w:rPr>
        <w:t>oi) pour l</w:t>
      </w:r>
      <w:r w:rsidR="00B02D1E">
        <w:rPr>
          <w:color w:val="000000"/>
          <w:sz w:val="12"/>
          <w:szCs w:val="12"/>
        </w:rPr>
        <w:t>a prestation</w:t>
      </w:r>
      <w:r w:rsidRPr="00B55ADC">
        <w:rPr>
          <w:color w:val="000000"/>
          <w:sz w:val="12"/>
          <w:szCs w:val="12"/>
        </w:rPr>
        <w:t xml:space="preserve"> des </w:t>
      </w:r>
      <w:r w:rsidR="00CE4FA4">
        <w:rPr>
          <w:color w:val="000000"/>
          <w:sz w:val="12"/>
          <w:szCs w:val="12"/>
        </w:rPr>
        <w:t>Services</w:t>
      </w:r>
      <w:r w:rsidRPr="00B55ADC">
        <w:rPr>
          <w:color w:val="000000"/>
          <w:sz w:val="12"/>
          <w:szCs w:val="12"/>
        </w:rPr>
        <w:t xml:space="preserve">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doit coordonner un programme de sécurité pour tous les employeurs qui exercent leurs activités au </w:t>
      </w:r>
      <w:r w:rsidR="005676A9">
        <w:rPr>
          <w:color w:val="000000"/>
          <w:sz w:val="12"/>
          <w:szCs w:val="12"/>
        </w:rPr>
        <w:t xml:space="preserve">lieu </w:t>
      </w:r>
      <w:r w:rsidRPr="00B55ADC">
        <w:rPr>
          <w:color w:val="000000"/>
          <w:sz w:val="12"/>
          <w:szCs w:val="12"/>
        </w:rPr>
        <w:t xml:space="preserve">travail et veiller à ce que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et ses employés, </w:t>
      </w:r>
      <w:r w:rsidR="00156C98">
        <w:rPr>
          <w:color w:val="000000"/>
          <w:sz w:val="12"/>
          <w:szCs w:val="12"/>
        </w:rPr>
        <w:t xml:space="preserve">agents, </w:t>
      </w:r>
      <w:r w:rsidRPr="00B55ADC">
        <w:rPr>
          <w:color w:val="000000"/>
          <w:sz w:val="12"/>
          <w:szCs w:val="12"/>
        </w:rPr>
        <w:t>mandataires et sous-traitants et tous les autres employeurs participent au programme de sécurité et s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y conforment à tous égards.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doit en outre exécuter les </w:t>
      </w:r>
      <w:r w:rsidR="00D34630">
        <w:rPr>
          <w:color w:val="000000"/>
          <w:sz w:val="12"/>
          <w:szCs w:val="12"/>
        </w:rPr>
        <w:t>t</w:t>
      </w:r>
      <w:r w:rsidRPr="00B55ADC">
        <w:rPr>
          <w:color w:val="000000"/>
          <w:sz w:val="12"/>
          <w:szCs w:val="12"/>
        </w:rPr>
        <w:t xml:space="preserve">ravaux et maintenir tout </w:t>
      </w:r>
      <w:r>
        <w:rPr>
          <w:color w:val="000000"/>
          <w:sz w:val="12"/>
          <w:szCs w:val="12"/>
        </w:rPr>
        <w:t>« </w:t>
      </w:r>
      <w:r w:rsidRPr="00B55ADC">
        <w:rPr>
          <w:color w:val="000000"/>
          <w:sz w:val="12"/>
          <w:szCs w:val="12"/>
        </w:rPr>
        <w:t>lieu de travail</w:t>
      </w:r>
      <w:r>
        <w:rPr>
          <w:color w:val="000000"/>
          <w:sz w:val="12"/>
          <w:szCs w:val="12"/>
        </w:rPr>
        <w:t> »</w:t>
      </w:r>
      <w:r w:rsidRPr="00B55ADC">
        <w:rPr>
          <w:color w:val="000000"/>
          <w:sz w:val="12"/>
          <w:szCs w:val="12"/>
        </w:rPr>
        <w:t xml:space="preserve"> associé à </w:t>
      </w:r>
      <w:r w:rsidR="00D34630">
        <w:rPr>
          <w:color w:val="000000"/>
          <w:sz w:val="12"/>
          <w:szCs w:val="12"/>
        </w:rPr>
        <w:t xml:space="preserve">son </w:t>
      </w:r>
      <w:r w:rsidRPr="00B55ADC">
        <w:rPr>
          <w:color w:val="000000"/>
          <w:sz w:val="12"/>
          <w:szCs w:val="12"/>
        </w:rPr>
        <w:t xml:space="preserve">exécution des </w:t>
      </w:r>
      <w:r w:rsidR="00D34630">
        <w:rPr>
          <w:color w:val="000000"/>
          <w:sz w:val="12"/>
          <w:szCs w:val="12"/>
        </w:rPr>
        <w:t>t</w:t>
      </w:r>
      <w:r w:rsidRPr="00B55ADC">
        <w:rPr>
          <w:color w:val="000000"/>
          <w:sz w:val="12"/>
          <w:szCs w:val="12"/>
        </w:rPr>
        <w:t>ravaux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une manière qui </w:t>
      </w:r>
      <w:r w:rsidR="00897AF3">
        <w:rPr>
          <w:color w:val="000000"/>
          <w:sz w:val="12"/>
          <w:szCs w:val="12"/>
        </w:rPr>
        <w:t>fe</w:t>
      </w:r>
      <w:r w:rsidRPr="00B55ADC">
        <w:rPr>
          <w:color w:val="000000"/>
          <w:sz w:val="12"/>
          <w:szCs w:val="12"/>
        </w:rPr>
        <w:t>ra</w:t>
      </w:r>
      <w:r w:rsidR="00897AF3">
        <w:rPr>
          <w:color w:val="000000"/>
          <w:sz w:val="12"/>
          <w:szCs w:val="12"/>
        </w:rPr>
        <w:t xml:space="preserve"> en sorte</w:t>
      </w:r>
      <w:r w:rsidRPr="00B55ADC">
        <w:rPr>
          <w:color w:val="000000"/>
          <w:sz w:val="12"/>
          <w:szCs w:val="12"/>
        </w:rPr>
        <w:t xml:space="preserve">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Interfor respecte ses obligations en vertu de la partie 3 de la </w:t>
      </w:r>
      <w:proofErr w:type="spellStart"/>
      <w:r w:rsidR="00D73711" w:rsidRPr="00D73711">
        <w:rPr>
          <w:i/>
          <w:iCs/>
          <w:color w:val="000000"/>
          <w:sz w:val="12"/>
          <w:szCs w:val="12"/>
        </w:rPr>
        <w:t>Workers</w:t>
      </w:r>
      <w:proofErr w:type="spellEnd"/>
      <w:r w:rsidR="00D73711" w:rsidRPr="00D73711">
        <w:rPr>
          <w:i/>
          <w:iCs/>
          <w:color w:val="000000"/>
          <w:sz w:val="12"/>
          <w:szCs w:val="12"/>
        </w:rPr>
        <w:t xml:space="preserve"> Compensation </w:t>
      </w:r>
      <w:proofErr w:type="spellStart"/>
      <w:r w:rsidR="00D73711" w:rsidRPr="00D73711">
        <w:rPr>
          <w:i/>
          <w:iCs/>
          <w:color w:val="000000"/>
          <w:sz w:val="12"/>
          <w:szCs w:val="12"/>
        </w:rPr>
        <w:t>Act</w:t>
      </w:r>
      <w:proofErr w:type="spellEnd"/>
      <w:r w:rsidR="00D73711" w:rsidRPr="00D73711">
        <w:rPr>
          <w:color w:val="000000"/>
          <w:sz w:val="12"/>
          <w:szCs w:val="12"/>
        </w:rPr>
        <w:t xml:space="preserve"> </w:t>
      </w:r>
      <w:r w:rsidR="00C0620B">
        <w:rPr>
          <w:color w:val="000000"/>
          <w:sz w:val="12"/>
          <w:szCs w:val="12"/>
        </w:rPr>
        <w:t xml:space="preserve">en </w:t>
      </w:r>
      <w:r w:rsidRPr="00B55ADC">
        <w:rPr>
          <w:color w:val="000000"/>
          <w:sz w:val="12"/>
          <w:szCs w:val="12"/>
        </w:rPr>
        <w:t xml:space="preserve">tant que </w:t>
      </w:r>
      <w:r>
        <w:rPr>
          <w:color w:val="000000"/>
          <w:sz w:val="12"/>
          <w:szCs w:val="12"/>
        </w:rPr>
        <w:t>« </w:t>
      </w:r>
      <w:r w:rsidRPr="00B55ADC">
        <w:rPr>
          <w:color w:val="000000"/>
          <w:sz w:val="12"/>
          <w:szCs w:val="12"/>
        </w:rPr>
        <w:t>propriétaire</w:t>
      </w:r>
      <w:r>
        <w:rPr>
          <w:color w:val="000000"/>
          <w:sz w:val="12"/>
          <w:szCs w:val="12"/>
        </w:rPr>
        <w:t> »</w:t>
      </w:r>
      <w:r w:rsidRPr="00B55ADC">
        <w:rPr>
          <w:color w:val="000000"/>
          <w:sz w:val="12"/>
          <w:szCs w:val="12"/>
        </w:rPr>
        <w:t xml:space="preserve"> </w:t>
      </w:r>
      <w:r w:rsidR="00A83346">
        <w:rPr>
          <w:color w:val="000000"/>
          <w:sz w:val="12"/>
          <w:szCs w:val="12"/>
        </w:rPr>
        <w:t>(</w:t>
      </w:r>
      <w:proofErr w:type="spellStart"/>
      <w:r w:rsidR="00A83346" w:rsidRPr="00A83346">
        <w:rPr>
          <w:i/>
          <w:iCs/>
          <w:color w:val="000000"/>
          <w:sz w:val="12"/>
          <w:szCs w:val="12"/>
        </w:rPr>
        <w:t>owner</w:t>
      </w:r>
      <w:proofErr w:type="spellEnd"/>
      <w:r w:rsidR="00A83346">
        <w:rPr>
          <w:color w:val="000000"/>
          <w:sz w:val="12"/>
          <w:szCs w:val="12"/>
        </w:rPr>
        <w:t xml:space="preserve">) </w:t>
      </w:r>
      <w:r w:rsidRPr="00B55ADC">
        <w:rPr>
          <w:color w:val="000000"/>
          <w:sz w:val="12"/>
          <w:szCs w:val="12"/>
        </w:rPr>
        <w:t>et respecte ses obligations en vertu de la partie 3 de la</w:t>
      </w:r>
      <w:r w:rsidR="00D73711" w:rsidRPr="00D73711">
        <w:rPr>
          <w:rFonts w:ascii="Times New Roman" w:eastAsiaTheme="minorHAnsi" w:hAnsi="Times New Roman" w:cs="Times New Roman"/>
          <w:i/>
          <w:iCs/>
          <w:color w:val="000000"/>
          <w:sz w:val="12"/>
          <w:szCs w:val="12"/>
        </w:rPr>
        <w:t xml:space="preserve"> </w:t>
      </w:r>
      <w:proofErr w:type="spellStart"/>
      <w:r w:rsidR="00D73711" w:rsidRPr="00D73711">
        <w:rPr>
          <w:i/>
          <w:iCs/>
          <w:color w:val="000000"/>
          <w:sz w:val="12"/>
          <w:szCs w:val="12"/>
        </w:rPr>
        <w:t>Workers</w:t>
      </w:r>
      <w:proofErr w:type="spellEnd"/>
      <w:r w:rsidR="00D73711" w:rsidRPr="00D73711">
        <w:rPr>
          <w:i/>
          <w:iCs/>
          <w:color w:val="000000"/>
          <w:sz w:val="12"/>
          <w:szCs w:val="12"/>
        </w:rPr>
        <w:t xml:space="preserve"> Compensation </w:t>
      </w:r>
      <w:proofErr w:type="spellStart"/>
      <w:r w:rsidR="00D73711" w:rsidRPr="00D73711">
        <w:rPr>
          <w:i/>
          <w:iCs/>
          <w:color w:val="000000"/>
          <w:sz w:val="12"/>
          <w:szCs w:val="12"/>
        </w:rPr>
        <w:t>Act</w:t>
      </w:r>
      <w:proofErr w:type="spellEnd"/>
      <w:r w:rsidRPr="00B55ADC">
        <w:rPr>
          <w:color w:val="000000"/>
          <w:sz w:val="12"/>
          <w:szCs w:val="12"/>
        </w:rPr>
        <w:t xml:space="preserve"> en tant qu</w:t>
      </w:r>
      <w:proofErr w:type="gramStart"/>
      <w:r>
        <w:rPr>
          <w:color w:val="000000"/>
          <w:sz w:val="12"/>
          <w:szCs w:val="12"/>
        </w:rPr>
        <w:t>’«</w:t>
      </w:r>
      <w:proofErr w:type="gramEnd"/>
      <w:r>
        <w:rPr>
          <w:color w:val="000000"/>
          <w:sz w:val="12"/>
          <w:szCs w:val="12"/>
        </w:rPr>
        <w:t> </w:t>
      </w:r>
      <w:r w:rsidRPr="00B55ADC">
        <w:rPr>
          <w:color w:val="000000"/>
          <w:sz w:val="12"/>
          <w:szCs w:val="12"/>
        </w:rPr>
        <w:t>employeur</w:t>
      </w:r>
      <w:r>
        <w:rPr>
          <w:color w:val="000000"/>
          <w:sz w:val="12"/>
          <w:szCs w:val="12"/>
        </w:rPr>
        <w:t> »</w:t>
      </w:r>
      <w:r w:rsidR="00A83346">
        <w:rPr>
          <w:color w:val="000000"/>
          <w:sz w:val="12"/>
          <w:szCs w:val="12"/>
        </w:rPr>
        <w:t xml:space="preserve"> (</w:t>
      </w:r>
      <w:r w:rsidR="00A83346" w:rsidRPr="00A83346">
        <w:rPr>
          <w:i/>
          <w:iCs/>
          <w:color w:val="000000"/>
          <w:sz w:val="12"/>
          <w:szCs w:val="12"/>
        </w:rPr>
        <w:t>employer</w:t>
      </w:r>
      <w:r w:rsidR="00A83346">
        <w:rPr>
          <w:color w:val="000000"/>
          <w:sz w:val="12"/>
          <w:szCs w:val="12"/>
        </w:rPr>
        <w:t>)</w:t>
      </w:r>
      <w:r w:rsidRPr="00B55ADC">
        <w:rPr>
          <w:color w:val="000000"/>
          <w:sz w:val="12"/>
          <w:szCs w:val="12"/>
        </w:rPr>
        <w:t>.</w:t>
      </w:r>
    </w:p>
    <w:p w14:paraId="582384EE" w14:textId="34EE8F4F" w:rsidR="00B55ADC" w:rsidRPr="00B55ADC" w:rsidRDefault="00CE4FA4" w:rsidP="00B55ADC">
      <w:pPr>
        <w:pStyle w:val="ListParagraph"/>
        <w:numPr>
          <w:ilvl w:val="0"/>
          <w:numId w:val="1"/>
        </w:numPr>
        <w:tabs>
          <w:tab w:val="left" w:pos="292"/>
        </w:tabs>
        <w:spacing w:after="120"/>
        <w:ind w:left="0" w:right="0" w:firstLine="0"/>
        <w:rPr>
          <w:sz w:val="12"/>
          <w:szCs w:val="12"/>
        </w:rPr>
      </w:pPr>
      <w:r>
        <w:rPr>
          <w:b/>
          <w:color w:val="000000"/>
          <w:spacing w:val="-1"/>
          <w:sz w:val="12"/>
          <w:szCs w:val="12"/>
        </w:rPr>
        <w:t>REPRÉSENTANTS</w:t>
      </w:r>
      <w:r w:rsidR="00B55ADC" w:rsidRPr="00B55ADC">
        <w:rPr>
          <w:b/>
          <w:color w:val="000000"/>
          <w:spacing w:val="-1"/>
          <w:sz w:val="12"/>
          <w:szCs w:val="12"/>
        </w:rPr>
        <w:t xml:space="preserve"> DU </w:t>
      </w:r>
      <w:r>
        <w:rPr>
          <w:b/>
          <w:color w:val="000000"/>
          <w:spacing w:val="-1"/>
          <w:sz w:val="12"/>
          <w:szCs w:val="12"/>
        </w:rPr>
        <w:t>FOURNISSEUR</w:t>
      </w:r>
      <w:r w:rsidR="00B55ADC" w:rsidRPr="00B55ADC">
        <w:rPr>
          <w:b/>
          <w:color w:val="000000"/>
          <w:spacing w:val="-1"/>
          <w:sz w:val="12"/>
          <w:szCs w:val="12"/>
        </w:rPr>
        <w:t xml:space="preserve"> </w:t>
      </w:r>
      <w:r w:rsidR="001D0040">
        <w:rPr>
          <w:b/>
          <w:color w:val="000000"/>
          <w:spacing w:val="-1"/>
          <w:sz w:val="12"/>
          <w:szCs w:val="12"/>
        </w:rPr>
        <w:t>DANS LE CADRE DE</w:t>
      </w:r>
      <w:r w:rsidR="007A3D0D">
        <w:rPr>
          <w:b/>
          <w:color w:val="000000"/>
          <w:spacing w:val="-1"/>
          <w:sz w:val="12"/>
          <w:szCs w:val="12"/>
        </w:rPr>
        <w:t xml:space="preserve"> LA PRESTATION</w:t>
      </w:r>
      <w:r w:rsidR="00B55ADC" w:rsidRPr="00B55ADC">
        <w:rPr>
          <w:b/>
          <w:color w:val="000000"/>
          <w:spacing w:val="-1"/>
          <w:sz w:val="12"/>
          <w:szCs w:val="12"/>
        </w:rPr>
        <w:t xml:space="preserve"> DES </w:t>
      </w:r>
      <w:r>
        <w:rPr>
          <w:b/>
          <w:color w:val="000000"/>
          <w:spacing w:val="-1"/>
          <w:sz w:val="12"/>
          <w:szCs w:val="12"/>
        </w:rPr>
        <w:t>SERVICES</w:t>
      </w:r>
      <w:r w:rsidR="00B55ADC" w:rsidRPr="00B55ADC">
        <w:rPr>
          <w:color w:val="000000"/>
          <w:sz w:val="12"/>
          <w:szCs w:val="12"/>
        </w:rPr>
        <w:t xml:space="preserve">. Le </w:t>
      </w:r>
      <w:r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est </w:t>
      </w:r>
      <w:r w:rsidR="00721E5F">
        <w:rPr>
          <w:color w:val="000000"/>
          <w:sz w:val="12"/>
          <w:szCs w:val="12"/>
        </w:rPr>
        <w:t xml:space="preserve">le </w:t>
      </w:r>
      <w:r w:rsidR="00B55ADC" w:rsidRPr="00B55ADC">
        <w:rPr>
          <w:color w:val="000000"/>
          <w:sz w:val="12"/>
          <w:szCs w:val="12"/>
        </w:rPr>
        <w:t xml:space="preserve">seul responsable de veiller à ce que tous les </w:t>
      </w:r>
      <w:r>
        <w:rPr>
          <w:color w:val="000000"/>
          <w:sz w:val="12"/>
          <w:szCs w:val="12"/>
        </w:rPr>
        <w:t>Représentants</w:t>
      </w:r>
      <w:r w:rsidR="00B55ADC" w:rsidRPr="00B55ADC">
        <w:rPr>
          <w:color w:val="000000"/>
          <w:sz w:val="12"/>
          <w:szCs w:val="12"/>
        </w:rPr>
        <w:t xml:space="preserve"> qui e</w:t>
      </w:r>
      <w:r w:rsidR="00EF7B7C">
        <w:rPr>
          <w:color w:val="000000"/>
          <w:sz w:val="12"/>
          <w:szCs w:val="12"/>
        </w:rPr>
        <w:t>ffectuent la prestation d</w:t>
      </w:r>
      <w:r w:rsidR="00B55ADC" w:rsidRPr="00B55ADC">
        <w:rPr>
          <w:color w:val="000000"/>
          <w:sz w:val="12"/>
          <w:szCs w:val="12"/>
        </w:rPr>
        <w:t xml:space="preserve">es </w:t>
      </w:r>
      <w:r>
        <w:rPr>
          <w:color w:val="000000"/>
          <w:sz w:val="12"/>
          <w:szCs w:val="12"/>
        </w:rPr>
        <w:t>Services</w:t>
      </w:r>
      <w:r w:rsidR="00B55ADC" w:rsidRPr="00B55ADC">
        <w:rPr>
          <w:color w:val="000000"/>
          <w:sz w:val="12"/>
          <w:szCs w:val="12"/>
        </w:rPr>
        <w:t>, aient la compétence de les exécuter et les exécute</w:t>
      </w:r>
      <w:r w:rsidR="003F4307">
        <w:rPr>
          <w:color w:val="000000"/>
          <w:sz w:val="12"/>
          <w:szCs w:val="12"/>
        </w:rPr>
        <w:t>nt</w:t>
      </w:r>
      <w:r w:rsidR="00B55ADC" w:rsidRPr="00B55ADC">
        <w:rPr>
          <w:color w:val="000000"/>
          <w:sz w:val="12"/>
          <w:szCs w:val="12"/>
        </w:rPr>
        <w:t xml:space="preserve"> </w:t>
      </w:r>
      <w:r w:rsidR="00294466">
        <w:rPr>
          <w:color w:val="000000"/>
          <w:sz w:val="12"/>
          <w:szCs w:val="12"/>
        </w:rPr>
        <w:t>entièrement en conformité avec les</w:t>
      </w:r>
      <w:r w:rsidR="00B55ADC" w:rsidRPr="00B55ADC">
        <w:rPr>
          <w:color w:val="000000"/>
          <w:sz w:val="12"/>
          <w:szCs w:val="12"/>
        </w:rPr>
        <w:t xml:space="preserve"> </w:t>
      </w:r>
      <w:r w:rsidR="008F4209">
        <w:rPr>
          <w:color w:val="000000"/>
          <w:sz w:val="12"/>
          <w:szCs w:val="12"/>
        </w:rPr>
        <w:t xml:space="preserve">modalités et </w:t>
      </w:r>
      <w:r w:rsidR="00B55ADC" w:rsidRPr="00B55ADC">
        <w:rPr>
          <w:color w:val="000000"/>
          <w:sz w:val="12"/>
          <w:szCs w:val="12"/>
        </w:rPr>
        <w:t xml:space="preserve">conditions de la présente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. Interfor peut exiger du </w:t>
      </w:r>
      <w:r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qu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il remplace </w:t>
      </w:r>
      <w:r w:rsidR="00174E92">
        <w:rPr>
          <w:color w:val="000000"/>
          <w:sz w:val="12"/>
          <w:szCs w:val="12"/>
        </w:rPr>
        <w:t xml:space="preserve">l’un ou l’autre de </w:t>
      </w:r>
      <w:r w:rsidR="00B55ADC" w:rsidRPr="00B55ADC">
        <w:rPr>
          <w:color w:val="000000"/>
          <w:sz w:val="12"/>
          <w:szCs w:val="12"/>
        </w:rPr>
        <w:t xml:space="preserve">ses </w:t>
      </w:r>
      <w:r>
        <w:rPr>
          <w:color w:val="000000"/>
          <w:sz w:val="12"/>
          <w:szCs w:val="12"/>
        </w:rPr>
        <w:t>Représentants</w:t>
      </w:r>
      <w:r w:rsidR="00B55ADC" w:rsidRPr="00B55ADC">
        <w:rPr>
          <w:color w:val="000000"/>
          <w:sz w:val="12"/>
          <w:szCs w:val="12"/>
        </w:rPr>
        <w:t xml:space="preserve"> lorsqu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 </w:t>
      </w:r>
      <w:r w:rsidR="00E377D9">
        <w:rPr>
          <w:color w:val="000000"/>
          <w:sz w:val="12"/>
          <w:szCs w:val="12"/>
        </w:rPr>
        <w:t>conteste</w:t>
      </w:r>
      <w:r w:rsidR="00B55ADC" w:rsidRPr="00B55ADC">
        <w:rPr>
          <w:color w:val="000000"/>
          <w:sz w:val="12"/>
          <w:szCs w:val="12"/>
        </w:rPr>
        <w:t xml:space="preserve"> raisonnablement</w:t>
      </w:r>
      <w:r w:rsidR="00E377D9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>leur rendement, leurs compétences ou leur</w:t>
      </w:r>
      <w:r w:rsidR="00721E5F">
        <w:rPr>
          <w:color w:val="000000"/>
          <w:sz w:val="12"/>
          <w:szCs w:val="12"/>
        </w:rPr>
        <w:t>s</w:t>
      </w:r>
      <w:r w:rsidR="00B55ADC" w:rsidRPr="00B55ADC">
        <w:rPr>
          <w:color w:val="000000"/>
          <w:sz w:val="12"/>
          <w:szCs w:val="12"/>
        </w:rPr>
        <w:t xml:space="preserve"> </w:t>
      </w:r>
      <w:r w:rsidR="003C14B1">
        <w:rPr>
          <w:color w:val="000000"/>
          <w:sz w:val="12"/>
          <w:szCs w:val="12"/>
        </w:rPr>
        <w:t>aptitude</w:t>
      </w:r>
      <w:r w:rsidR="00721E5F">
        <w:rPr>
          <w:color w:val="000000"/>
          <w:sz w:val="12"/>
          <w:szCs w:val="12"/>
        </w:rPr>
        <w:t>s</w:t>
      </w:r>
      <w:r w:rsidR="00B55ADC" w:rsidRPr="00B55ADC">
        <w:rPr>
          <w:color w:val="000000"/>
          <w:sz w:val="12"/>
          <w:szCs w:val="12"/>
        </w:rPr>
        <w:t xml:space="preserve">. Les </w:t>
      </w:r>
      <w:r>
        <w:rPr>
          <w:color w:val="000000"/>
          <w:sz w:val="12"/>
          <w:szCs w:val="12"/>
        </w:rPr>
        <w:t>Représentants</w:t>
      </w:r>
      <w:r w:rsidR="00B55ADC" w:rsidRPr="00B55ADC">
        <w:rPr>
          <w:color w:val="000000"/>
          <w:sz w:val="12"/>
          <w:szCs w:val="12"/>
        </w:rPr>
        <w:t xml:space="preserve"> ne sont pas des employés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Interfor. Le </w:t>
      </w:r>
      <w:r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est </w:t>
      </w:r>
      <w:r w:rsidR="00721E5F">
        <w:rPr>
          <w:color w:val="000000"/>
          <w:sz w:val="12"/>
          <w:szCs w:val="12"/>
        </w:rPr>
        <w:t xml:space="preserve">le </w:t>
      </w:r>
      <w:r w:rsidR="00B55ADC" w:rsidRPr="00B55ADC">
        <w:rPr>
          <w:color w:val="000000"/>
          <w:sz w:val="12"/>
          <w:szCs w:val="12"/>
        </w:rPr>
        <w:t xml:space="preserve">seul responsable des actes et omissions de ses </w:t>
      </w:r>
      <w:r>
        <w:rPr>
          <w:color w:val="000000"/>
          <w:sz w:val="12"/>
          <w:szCs w:val="12"/>
        </w:rPr>
        <w:t>Représentants</w:t>
      </w:r>
      <w:r w:rsidR="00B55ADC" w:rsidRPr="00B55ADC">
        <w:rPr>
          <w:color w:val="000000"/>
          <w:sz w:val="12"/>
          <w:szCs w:val="12"/>
        </w:rPr>
        <w:t xml:space="preserve"> dans l</w:t>
      </w:r>
      <w:r w:rsidR="00D46EFA">
        <w:rPr>
          <w:color w:val="000000"/>
          <w:sz w:val="12"/>
          <w:szCs w:val="12"/>
        </w:rPr>
        <w:t>e cadre de la prestation</w:t>
      </w:r>
      <w:r w:rsidR="00B55ADC" w:rsidRPr="00B55ADC">
        <w:rPr>
          <w:color w:val="000000"/>
          <w:sz w:val="12"/>
          <w:szCs w:val="12"/>
        </w:rPr>
        <w:t xml:space="preserve"> des </w:t>
      </w:r>
      <w:r>
        <w:rPr>
          <w:color w:val="000000"/>
          <w:sz w:val="12"/>
          <w:szCs w:val="12"/>
        </w:rPr>
        <w:t>Services</w:t>
      </w:r>
      <w:r w:rsidR="00B55ADC" w:rsidRPr="00B55ADC">
        <w:rPr>
          <w:color w:val="000000"/>
          <w:sz w:val="12"/>
          <w:szCs w:val="12"/>
        </w:rPr>
        <w:t xml:space="preserve"> ou pendant qu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il</w:t>
      </w:r>
      <w:r w:rsidR="00F752DB">
        <w:rPr>
          <w:color w:val="000000"/>
          <w:sz w:val="12"/>
          <w:szCs w:val="12"/>
        </w:rPr>
        <w:t>s</w:t>
      </w:r>
      <w:r w:rsidR="00B55ADC" w:rsidRPr="00B55ADC">
        <w:rPr>
          <w:color w:val="000000"/>
          <w:sz w:val="12"/>
          <w:szCs w:val="12"/>
        </w:rPr>
        <w:t xml:space="preserve"> se trouve</w:t>
      </w:r>
      <w:r w:rsidR="00F752DB">
        <w:rPr>
          <w:color w:val="000000"/>
          <w:sz w:val="12"/>
          <w:szCs w:val="12"/>
        </w:rPr>
        <w:t>nt</w:t>
      </w:r>
      <w:r w:rsidR="00B55ADC" w:rsidRPr="00B55ADC">
        <w:rPr>
          <w:color w:val="000000"/>
          <w:sz w:val="12"/>
          <w:szCs w:val="12"/>
        </w:rPr>
        <w:t xml:space="preserve"> sur un site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Interfor.</w:t>
      </w:r>
    </w:p>
    <w:p w14:paraId="1B670874" w14:textId="17370B31" w:rsidR="00B55ADC" w:rsidRPr="00B55ADC" w:rsidRDefault="00284B54" w:rsidP="00B55ADC">
      <w:pPr>
        <w:pStyle w:val="ListParagraph"/>
        <w:numPr>
          <w:ilvl w:val="0"/>
          <w:numId w:val="1"/>
        </w:numPr>
        <w:tabs>
          <w:tab w:val="left" w:pos="292"/>
        </w:tabs>
        <w:spacing w:after="120"/>
        <w:ind w:left="0" w:right="0" w:firstLine="0"/>
        <w:rPr>
          <w:sz w:val="12"/>
          <w:szCs w:val="12"/>
        </w:rPr>
      </w:pPr>
      <w:r>
        <w:rPr>
          <w:b/>
          <w:color w:val="000000"/>
          <w:sz w:val="12"/>
          <w:szCs w:val="12"/>
        </w:rPr>
        <w:t>CONFORMITÉ AUX</w:t>
      </w:r>
      <w:r w:rsidR="00B55ADC" w:rsidRPr="00B55ADC">
        <w:rPr>
          <w:b/>
          <w:color w:val="000000"/>
          <w:sz w:val="12"/>
          <w:szCs w:val="12"/>
        </w:rPr>
        <w:t xml:space="preserve"> LOI</w:t>
      </w:r>
      <w:r>
        <w:rPr>
          <w:b/>
          <w:color w:val="000000"/>
          <w:sz w:val="12"/>
          <w:szCs w:val="12"/>
        </w:rPr>
        <w:t>S</w:t>
      </w:r>
      <w:r w:rsidR="00B55ADC" w:rsidRPr="00B55ADC">
        <w:rPr>
          <w:b/>
          <w:color w:val="000000"/>
          <w:sz w:val="12"/>
          <w:szCs w:val="12"/>
        </w:rPr>
        <w:t xml:space="preserve"> ET </w:t>
      </w:r>
      <w:r>
        <w:rPr>
          <w:b/>
          <w:color w:val="000000"/>
          <w:sz w:val="12"/>
          <w:szCs w:val="12"/>
        </w:rPr>
        <w:t>AUX</w:t>
      </w:r>
      <w:r w:rsidR="00B55ADC" w:rsidRPr="00B55ADC">
        <w:rPr>
          <w:b/>
          <w:color w:val="000000"/>
          <w:sz w:val="12"/>
          <w:szCs w:val="12"/>
        </w:rPr>
        <w:t xml:space="preserve"> POLITIQUES</w:t>
      </w:r>
      <w:r w:rsidR="00B55ADC" w:rsidRPr="00B55ADC">
        <w:rPr>
          <w:color w:val="000000"/>
          <w:sz w:val="12"/>
          <w:szCs w:val="12"/>
        </w:rPr>
        <w:t xml:space="preserve">.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se conforme à ce qui suit et veille à ce que tous les </w:t>
      </w:r>
      <w:r w:rsidR="00CE4FA4">
        <w:rPr>
          <w:color w:val="000000"/>
          <w:sz w:val="12"/>
          <w:szCs w:val="12"/>
        </w:rPr>
        <w:t>Représentants</w:t>
      </w:r>
      <w:r w:rsidR="00B55ADC" w:rsidRPr="00B55ADC">
        <w:rPr>
          <w:color w:val="000000"/>
          <w:sz w:val="12"/>
          <w:szCs w:val="12"/>
        </w:rPr>
        <w:t xml:space="preserve"> s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y conforment</w:t>
      </w:r>
      <w:r w:rsidR="00B55ADC">
        <w:rPr>
          <w:color w:val="000000"/>
          <w:sz w:val="12"/>
          <w:szCs w:val="12"/>
        </w:rPr>
        <w:t> :</w:t>
      </w:r>
      <w:r w:rsidR="00B55ADC" w:rsidRPr="00B55ADC">
        <w:rPr>
          <w:color w:val="000000"/>
          <w:sz w:val="12"/>
          <w:szCs w:val="12"/>
        </w:rPr>
        <w:t xml:space="preserve"> a) les dispositions de </w:t>
      </w:r>
      <w:r w:rsidR="00191B7C">
        <w:rPr>
          <w:color w:val="000000"/>
          <w:sz w:val="12"/>
          <w:szCs w:val="12"/>
        </w:rPr>
        <w:t>l’ensemble d</w:t>
      </w:r>
      <w:r w:rsidR="00B55ADC" w:rsidRPr="00B55ADC">
        <w:rPr>
          <w:color w:val="000000"/>
          <w:sz w:val="12"/>
          <w:szCs w:val="12"/>
        </w:rPr>
        <w:t>es lois, règles, règlements et politiques du gouvernement applicables; et b) toutes les politiques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 applicables aux </w:t>
      </w:r>
      <w:r w:rsidR="004B7715">
        <w:rPr>
          <w:color w:val="000000"/>
          <w:sz w:val="12"/>
          <w:szCs w:val="12"/>
        </w:rPr>
        <w:t>f</w:t>
      </w:r>
      <w:r w:rsidR="00CE4FA4">
        <w:rPr>
          <w:color w:val="000000"/>
          <w:sz w:val="12"/>
          <w:szCs w:val="12"/>
        </w:rPr>
        <w:t>ournisseur</w:t>
      </w:r>
      <w:r w:rsidR="00B55ADC" w:rsidRPr="00B55ADC">
        <w:rPr>
          <w:color w:val="000000"/>
          <w:sz w:val="12"/>
          <w:szCs w:val="12"/>
        </w:rPr>
        <w:t>s et entrepreneurs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 et qui sont </w:t>
      </w:r>
      <w:r w:rsidR="004B7715">
        <w:rPr>
          <w:color w:val="000000"/>
          <w:sz w:val="12"/>
          <w:szCs w:val="12"/>
        </w:rPr>
        <w:t>communiquées</w:t>
      </w:r>
      <w:r w:rsidR="00B55ADC" w:rsidRPr="00B55ADC">
        <w:rPr>
          <w:color w:val="000000"/>
          <w:sz w:val="12"/>
          <w:szCs w:val="12"/>
        </w:rPr>
        <w:t xml:space="preserve"> au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>, ou</w:t>
      </w:r>
      <w:r w:rsidR="00C36650">
        <w:rPr>
          <w:color w:val="000000"/>
          <w:sz w:val="12"/>
          <w:szCs w:val="12"/>
        </w:rPr>
        <w:t xml:space="preserve"> qui peuvent être consultées sur le</w:t>
      </w:r>
      <w:r w:rsidR="00B55ADC" w:rsidRPr="00B55ADC">
        <w:rPr>
          <w:color w:val="000000"/>
          <w:sz w:val="12"/>
          <w:szCs w:val="12"/>
        </w:rPr>
        <w:t xml:space="preserve"> site Web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 </w:t>
      </w:r>
      <w:hyperlink r:id="rId16">
        <w:r w:rsidR="00B55ADC" w:rsidRPr="00B55ADC">
          <w:rPr>
            <w:color w:val="000000"/>
            <w:sz w:val="12"/>
            <w:szCs w:val="12"/>
          </w:rPr>
          <w:t>(</w:t>
        </w:r>
        <w:r w:rsidR="00B55ADC" w:rsidRPr="00B55ADC">
          <w:rPr>
            <w:color w:val="0000FF"/>
            <w:sz w:val="12"/>
            <w:szCs w:val="12"/>
            <w:u w:val="single" w:color="0000FF"/>
          </w:rPr>
          <w:t>www.interfor.com</w:t>
        </w:r>
      </w:hyperlink>
      <w:r w:rsidR="00B55ADC" w:rsidRPr="00B55ADC">
        <w:rPr>
          <w:color w:val="000000"/>
          <w:sz w:val="12"/>
          <w:szCs w:val="12"/>
        </w:rPr>
        <w:t>), y compris</w:t>
      </w:r>
      <w:r w:rsidR="00117078">
        <w:rPr>
          <w:color w:val="000000"/>
          <w:sz w:val="12"/>
          <w:szCs w:val="12"/>
        </w:rPr>
        <w:t xml:space="preserve"> mais sans s’y limiter</w:t>
      </w:r>
      <w:r w:rsidR="00B55ADC" w:rsidRPr="00B55ADC">
        <w:rPr>
          <w:color w:val="000000"/>
          <w:sz w:val="12"/>
          <w:szCs w:val="12"/>
        </w:rPr>
        <w:t xml:space="preserve">, le </w:t>
      </w:r>
      <w:r w:rsidR="00117078" w:rsidRPr="00117078">
        <w:rPr>
          <w:i/>
          <w:iCs/>
          <w:color w:val="000000"/>
          <w:sz w:val="12"/>
          <w:szCs w:val="12"/>
        </w:rPr>
        <w:t>C</w:t>
      </w:r>
      <w:r w:rsidR="00B55ADC" w:rsidRPr="00117078">
        <w:rPr>
          <w:i/>
          <w:iCs/>
          <w:color w:val="000000"/>
          <w:sz w:val="12"/>
          <w:szCs w:val="12"/>
        </w:rPr>
        <w:t>ode de conduite et d’éthique</w:t>
      </w:r>
      <w:r w:rsidR="00B55ADC" w:rsidRPr="00B55ADC">
        <w:rPr>
          <w:color w:val="000000"/>
          <w:sz w:val="12"/>
          <w:szCs w:val="12"/>
        </w:rPr>
        <w:t xml:space="preserve">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Interfor. Si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fournit des </w:t>
      </w:r>
      <w:r w:rsidR="00CE4FA4">
        <w:rPr>
          <w:color w:val="000000"/>
          <w:sz w:val="12"/>
          <w:szCs w:val="12"/>
        </w:rPr>
        <w:t>Services</w:t>
      </w:r>
      <w:r w:rsidR="00B55ADC" w:rsidRPr="00B55ADC">
        <w:rPr>
          <w:color w:val="000000"/>
          <w:sz w:val="12"/>
          <w:szCs w:val="12"/>
        </w:rPr>
        <w:t xml:space="preserve"> à un site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Interfor,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doit établir et appliquer une politique sur les drogues et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alcool qui </w:t>
      </w:r>
      <w:r w:rsidR="00736506">
        <w:rPr>
          <w:color w:val="000000"/>
          <w:sz w:val="12"/>
          <w:szCs w:val="12"/>
        </w:rPr>
        <w:t>respecte</w:t>
      </w:r>
      <w:r w:rsidR="00B55ADC" w:rsidRPr="00B55ADC">
        <w:rPr>
          <w:color w:val="000000"/>
          <w:sz w:val="12"/>
          <w:szCs w:val="12"/>
        </w:rPr>
        <w:t xml:space="preserve"> ou dépasse les exigences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 à cet égard, ou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doit veiller à ce que les </w:t>
      </w:r>
      <w:r w:rsidR="00CE4FA4">
        <w:rPr>
          <w:color w:val="000000"/>
          <w:sz w:val="12"/>
          <w:szCs w:val="12"/>
        </w:rPr>
        <w:t>Représentants</w:t>
      </w:r>
      <w:r w:rsidR="00B55ADC" w:rsidRPr="00B55ADC">
        <w:rPr>
          <w:color w:val="000000"/>
          <w:sz w:val="12"/>
          <w:szCs w:val="12"/>
        </w:rPr>
        <w:t xml:space="preserve"> se conforment aux exigences de la </w:t>
      </w:r>
      <w:r w:rsidR="00117078" w:rsidRPr="00117078">
        <w:rPr>
          <w:i/>
          <w:iCs/>
          <w:color w:val="000000"/>
          <w:sz w:val="12"/>
          <w:szCs w:val="12"/>
        </w:rPr>
        <w:t>P</w:t>
      </w:r>
      <w:r w:rsidR="00B55ADC" w:rsidRPr="00117078">
        <w:rPr>
          <w:i/>
          <w:iCs/>
          <w:color w:val="000000"/>
          <w:sz w:val="12"/>
          <w:szCs w:val="12"/>
        </w:rPr>
        <w:t>olitique sur les drogues et l’alcool</w:t>
      </w:r>
      <w:r w:rsidR="00B55ADC" w:rsidRPr="00B55ADC">
        <w:rPr>
          <w:color w:val="000000"/>
          <w:sz w:val="12"/>
          <w:szCs w:val="12"/>
        </w:rPr>
        <w:t xml:space="preserve">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Interfor.</w:t>
      </w:r>
    </w:p>
    <w:p w14:paraId="799E60D3" w14:textId="44E0EA5B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OUTILS ET FOURNITURES</w:t>
      </w:r>
      <w:r w:rsidRPr="008F4E5F">
        <w:rPr>
          <w:bCs/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doit, à ses propres risques et </w:t>
      </w:r>
      <w:r w:rsidR="00695067">
        <w:rPr>
          <w:color w:val="000000"/>
          <w:sz w:val="12"/>
          <w:szCs w:val="12"/>
        </w:rPr>
        <w:t>frai</w:t>
      </w:r>
      <w:r w:rsidRPr="00B55ADC">
        <w:rPr>
          <w:color w:val="000000"/>
          <w:sz w:val="12"/>
          <w:szCs w:val="12"/>
        </w:rPr>
        <w:t>s, fournir, réparer</w:t>
      </w:r>
      <w:r w:rsidR="00695067">
        <w:rPr>
          <w:color w:val="000000"/>
          <w:sz w:val="12"/>
          <w:szCs w:val="12"/>
        </w:rPr>
        <w:t>, maintenir</w:t>
      </w:r>
      <w:r w:rsidRPr="00B55ADC">
        <w:rPr>
          <w:color w:val="000000"/>
          <w:sz w:val="12"/>
          <w:szCs w:val="12"/>
        </w:rPr>
        <w:t xml:space="preserve"> et entretenir tou</w:t>
      </w:r>
      <w:r w:rsidR="002E2F04">
        <w:rPr>
          <w:color w:val="000000"/>
          <w:sz w:val="12"/>
          <w:szCs w:val="12"/>
        </w:rPr>
        <w:t xml:space="preserve">s </w:t>
      </w:r>
      <w:r w:rsidRPr="00B55ADC">
        <w:rPr>
          <w:color w:val="000000"/>
          <w:sz w:val="12"/>
          <w:szCs w:val="12"/>
        </w:rPr>
        <w:t>les outil</w:t>
      </w:r>
      <w:r w:rsidR="00DA4CEB">
        <w:rPr>
          <w:color w:val="000000"/>
          <w:sz w:val="12"/>
          <w:szCs w:val="12"/>
        </w:rPr>
        <w:t>s,</w:t>
      </w:r>
      <w:r w:rsidR="002E2F04">
        <w:rPr>
          <w:rFonts w:ascii="Times New Roman" w:eastAsiaTheme="minorHAnsi" w:hAnsi="Times New Roman" w:cs="Times New Roman"/>
          <w:color w:val="000000"/>
          <w:sz w:val="12"/>
          <w:szCs w:val="12"/>
        </w:rPr>
        <w:t xml:space="preserve"> </w:t>
      </w:r>
      <w:r w:rsidR="002E2F04" w:rsidRPr="002E2F04">
        <w:rPr>
          <w:color w:val="000000"/>
          <w:sz w:val="12"/>
          <w:szCs w:val="12"/>
        </w:rPr>
        <w:t>l’équipement</w:t>
      </w:r>
      <w:r w:rsidRPr="00B55ADC">
        <w:rPr>
          <w:color w:val="000000"/>
          <w:sz w:val="12"/>
          <w:szCs w:val="12"/>
        </w:rPr>
        <w:t xml:space="preserve"> et les fournitures nécessaires à l</w:t>
      </w:r>
      <w:r w:rsidR="00EF211A">
        <w:rPr>
          <w:color w:val="000000"/>
          <w:sz w:val="12"/>
          <w:szCs w:val="12"/>
        </w:rPr>
        <w:t>a prestation</w:t>
      </w:r>
      <w:r w:rsidRPr="00B55ADC">
        <w:rPr>
          <w:color w:val="000000"/>
          <w:sz w:val="12"/>
          <w:szCs w:val="12"/>
        </w:rPr>
        <w:t xml:space="preserve"> des </w:t>
      </w:r>
      <w:r w:rsidR="00CE4FA4">
        <w:rPr>
          <w:color w:val="000000"/>
          <w:sz w:val="12"/>
          <w:szCs w:val="12"/>
        </w:rPr>
        <w:t>Services</w:t>
      </w:r>
      <w:r w:rsidRPr="00B55ADC">
        <w:rPr>
          <w:color w:val="000000"/>
          <w:sz w:val="12"/>
          <w:szCs w:val="12"/>
        </w:rPr>
        <w:t xml:space="preserve">, sauf indication contraire dans la présente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>.</w:t>
      </w:r>
    </w:p>
    <w:p w14:paraId="23E82B1E" w14:textId="7306F6AD" w:rsidR="00B55ADC" w:rsidRPr="00B55ADC" w:rsidRDefault="00D66FF7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DOSSIERS</w:t>
      </w:r>
      <w:r w:rsidR="00302C6C">
        <w:rPr>
          <w:b/>
          <w:color w:val="000000"/>
          <w:sz w:val="12"/>
          <w:szCs w:val="12"/>
        </w:rPr>
        <w:t xml:space="preserve"> ET REGISTRES</w:t>
      </w:r>
      <w:r w:rsidR="008F4E5F" w:rsidRPr="008F4E5F">
        <w:rPr>
          <w:bCs/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 xml:space="preserve">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tient et </w:t>
      </w:r>
      <w:r w:rsidR="003923A9">
        <w:rPr>
          <w:color w:val="000000"/>
          <w:sz w:val="12"/>
          <w:szCs w:val="12"/>
        </w:rPr>
        <w:t>main</w:t>
      </w:r>
      <w:r w:rsidR="00B55ADC" w:rsidRPr="00B55ADC">
        <w:rPr>
          <w:color w:val="000000"/>
          <w:sz w:val="12"/>
          <w:szCs w:val="12"/>
        </w:rPr>
        <w:t xml:space="preserve">tient à jour des </w:t>
      </w:r>
      <w:r w:rsidR="00302C6C">
        <w:rPr>
          <w:color w:val="000000"/>
          <w:sz w:val="12"/>
          <w:szCs w:val="12"/>
        </w:rPr>
        <w:t xml:space="preserve">dossiers et </w:t>
      </w:r>
      <w:r w:rsidR="00B55ADC" w:rsidRPr="00B55ADC">
        <w:rPr>
          <w:color w:val="000000"/>
          <w:sz w:val="12"/>
          <w:szCs w:val="12"/>
        </w:rPr>
        <w:t xml:space="preserve">registres suffisants pour attester les </w:t>
      </w:r>
      <w:r w:rsidR="00CE4FA4">
        <w:rPr>
          <w:color w:val="000000"/>
          <w:sz w:val="12"/>
          <w:szCs w:val="12"/>
        </w:rPr>
        <w:t>Services</w:t>
      </w:r>
      <w:r w:rsidR="00B55ADC" w:rsidRPr="00B55ADC">
        <w:rPr>
          <w:color w:val="000000"/>
          <w:sz w:val="12"/>
          <w:szCs w:val="12"/>
        </w:rPr>
        <w:t xml:space="preserve"> rendus et met ces </w:t>
      </w:r>
      <w:r w:rsidR="00302C6C">
        <w:rPr>
          <w:color w:val="000000"/>
          <w:sz w:val="12"/>
          <w:szCs w:val="12"/>
        </w:rPr>
        <w:t xml:space="preserve">dossiers et </w:t>
      </w:r>
      <w:r w:rsidR="00B55ADC" w:rsidRPr="00B55ADC">
        <w:rPr>
          <w:color w:val="000000"/>
          <w:sz w:val="12"/>
          <w:szCs w:val="12"/>
        </w:rPr>
        <w:t>registres à la disposition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Interfor aux fins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inspection à la demande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Interfor.</w:t>
      </w:r>
    </w:p>
    <w:p w14:paraId="2FAED4EE" w14:textId="3F50B558" w:rsidR="00B55ADC" w:rsidRPr="00B55ADC" w:rsidRDefault="00CE4FA4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>
        <w:rPr>
          <w:b/>
          <w:color w:val="000000"/>
          <w:sz w:val="12"/>
          <w:szCs w:val="12"/>
        </w:rPr>
        <w:t>BIENS</w:t>
      </w:r>
      <w:r w:rsidR="00B55ADC" w:rsidRPr="00B55ADC">
        <w:rPr>
          <w:color w:val="000000"/>
          <w:sz w:val="12"/>
          <w:szCs w:val="12"/>
        </w:rPr>
        <w:t xml:space="preserve"> </w:t>
      </w:r>
      <w:r w:rsidR="005934CE" w:rsidRPr="005934CE">
        <w:rPr>
          <w:b/>
          <w:bCs/>
          <w:color w:val="000000"/>
          <w:sz w:val="12"/>
          <w:szCs w:val="12"/>
        </w:rPr>
        <w:t>D’</w:t>
      </w:r>
      <w:r w:rsidR="00B55ADC" w:rsidRPr="00D66FF7">
        <w:rPr>
          <w:b/>
          <w:bCs/>
          <w:color w:val="000000"/>
          <w:sz w:val="12"/>
          <w:szCs w:val="12"/>
        </w:rPr>
        <w:t>INTERFOR</w:t>
      </w:r>
      <w:r w:rsidR="00B55ADC" w:rsidRPr="00B55ADC">
        <w:rPr>
          <w:color w:val="000000"/>
          <w:sz w:val="12"/>
          <w:szCs w:val="12"/>
        </w:rPr>
        <w:t xml:space="preserve">. Le </w:t>
      </w:r>
      <w:r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convient que tous les </w:t>
      </w:r>
      <w:r w:rsidR="001A79FA">
        <w:rPr>
          <w:color w:val="000000"/>
          <w:sz w:val="12"/>
          <w:szCs w:val="12"/>
        </w:rPr>
        <w:t>b</w:t>
      </w:r>
      <w:r>
        <w:rPr>
          <w:color w:val="000000"/>
          <w:sz w:val="12"/>
          <w:szCs w:val="12"/>
        </w:rPr>
        <w:t>iens</w:t>
      </w:r>
      <w:r w:rsidR="00B55ADC" w:rsidRPr="00B55ADC">
        <w:rPr>
          <w:color w:val="000000"/>
          <w:sz w:val="12"/>
          <w:szCs w:val="12"/>
        </w:rPr>
        <w:t xml:space="preserve">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Interfor, y compris les documents renfermant des renseignements confidentiels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Interfor, </w:t>
      </w:r>
      <w:r w:rsidR="00B55ADC" w:rsidRPr="00B55ADC">
        <w:rPr>
          <w:color w:val="000000"/>
          <w:sz w:val="12"/>
          <w:szCs w:val="12"/>
        </w:rPr>
        <w:lastRenderedPageBreak/>
        <w:t>doivent demeurer dans les locaux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Interfor, à moins </w:t>
      </w:r>
      <w:r w:rsidR="00C34562">
        <w:rPr>
          <w:color w:val="000000"/>
          <w:sz w:val="12"/>
          <w:szCs w:val="12"/>
        </w:rPr>
        <w:t>qu’</w:t>
      </w:r>
      <w:r w:rsidR="00B55ADC" w:rsidRPr="00B55ADC">
        <w:rPr>
          <w:color w:val="000000"/>
          <w:sz w:val="12"/>
          <w:szCs w:val="12"/>
        </w:rPr>
        <w:t>un représentant autorisé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Interfor</w:t>
      </w:r>
      <w:r w:rsidR="00267633">
        <w:rPr>
          <w:color w:val="000000"/>
          <w:sz w:val="12"/>
          <w:szCs w:val="12"/>
        </w:rPr>
        <w:t xml:space="preserve"> n’</w:t>
      </w:r>
      <w:r w:rsidR="00797A41">
        <w:rPr>
          <w:color w:val="000000"/>
          <w:sz w:val="12"/>
          <w:szCs w:val="12"/>
        </w:rPr>
        <w:t>en convienne</w:t>
      </w:r>
      <w:r w:rsidR="00267633">
        <w:rPr>
          <w:color w:val="000000"/>
          <w:sz w:val="12"/>
          <w:szCs w:val="12"/>
        </w:rPr>
        <w:t xml:space="preserve"> autrement</w:t>
      </w:r>
      <w:r w:rsidR="00B55ADC" w:rsidRPr="00B55ADC">
        <w:rPr>
          <w:color w:val="000000"/>
          <w:sz w:val="12"/>
          <w:szCs w:val="12"/>
        </w:rPr>
        <w:t>. À la demande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 ou à la résiliation de la présente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, le </w:t>
      </w:r>
      <w:r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retourne immédiatement à Interfor la totalité des </w:t>
      </w:r>
      <w:r w:rsidR="001A79FA">
        <w:rPr>
          <w:color w:val="000000"/>
          <w:sz w:val="12"/>
          <w:szCs w:val="12"/>
        </w:rPr>
        <w:t>b</w:t>
      </w:r>
      <w:r>
        <w:rPr>
          <w:color w:val="000000"/>
          <w:sz w:val="12"/>
          <w:szCs w:val="12"/>
        </w:rPr>
        <w:t>iens</w:t>
      </w:r>
      <w:r w:rsidR="00B55ADC" w:rsidRPr="00B55ADC">
        <w:rPr>
          <w:color w:val="000000"/>
          <w:sz w:val="12"/>
          <w:szCs w:val="12"/>
        </w:rPr>
        <w:t xml:space="preserve">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Interfor.</w:t>
      </w:r>
    </w:p>
    <w:p w14:paraId="5DAE686E" w14:textId="077F79ED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COORDINATION DES ACTIVITÉS</w:t>
      </w:r>
      <w:r w:rsidRPr="00B55ADC">
        <w:rPr>
          <w:color w:val="000000"/>
          <w:sz w:val="12"/>
          <w:szCs w:val="12"/>
        </w:rPr>
        <w:t xml:space="preserve">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reconnaît et convient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il peut être tenu de procéder à ses travaux en même temps que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autres au lieu de travail et il co</w:t>
      </w:r>
      <w:r w:rsidR="00873906">
        <w:rPr>
          <w:color w:val="000000"/>
          <w:sz w:val="12"/>
          <w:szCs w:val="12"/>
        </w:rPr>
        <w:t>llabo</w:t>
      </w:r>
      <w:r w:rsidRPr="00B55ADC">
        <w:rPr>
          <w:color w:val="000000"/>
          <w:sz w:val="12"/>
          <w:szCs w:val="12"/>
        </w:rPr>
        <w:t xml:space="preserve">rera avec </w:t>
      </w:r>
      <w:r w:rsidR="007C7146">
        <w:rPr>
          <w:color w:val="000000"/>
          <w:sz w:val="12"/>
          <w:szCs w:val="12"/>
        </w:rPr>
        <w:t xml:space="preserve">les intéressés </w:t>
      </w:r>
      <w:r w:rsidRPr="00B55ADC">
        <w:rPr>
          <w:color w:val="000000"/>
          <w:sz w:val="12"/>
          <w:szCs w:val="12"/>
        </w:rPr>
        <w:t xml:space="preserve">afin </w:t>
      </w:r>
      <w:r w:rsidR="00A451E6">
        <w:rPr>
          <w:color w:val="000000"/>
          <w:sz w:val="12"/>
          <w:szCs w:val="12"/>
        </w:rPr>
        <w:t xml:space="preserve">d’être le plus efficace possible et d’assurer la réalisation ordonnée et en temps opportun des </w:t>
      </w:r>
      <w:r w:rsidR="00CE4FA4">
        <w:rPr>
          <w:color w:val="000000"/>
          <w:sz w:val="12"/>
          <w:szCs w:val="12"/>
        </w:rPr>
        <w:t>Services</w:t>
      </w:r>
      <w:r w:rsidRPr="00B55ADC">
        <w:rPr>
          <w:color w:val="000000"/>
          <w:sz w:val="12"/>
          <w:szCs w:val="12"/>
        </w:rPr>
        <w:t xml:space="preserve">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convient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il n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aura pas droit à une rémunération</w:t>
      </w:r>
      <w:r w:rsidR="00A451E6">
        <w:rPr>
          <w:color w:val="000000"/>
          <w:sz w:val="12"/>
          <w:szCs w:val="12"/>
        </w:rPr>
        <w:t xml:space="preserve"> additionnelle</w:t>
      </w:r>
      <w:r w:rsidRPr="00B55ADC">
        <w:rPr>
          <w:color w:val="000000"/>
          <w:sz w:val="12"/>
          <w:szCs w:val="12"/>
        </w:rPr>
        <w:t xml:space="preserve"> en raison du fait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il est tenu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exécuter les </w:t>
      </w:r>
      <w:r w:rsidR="00CE4FA4">
        <w:rPr>
          <w:color w:val="000000"/>
          <w:sz w:val="12"/>
          <w:szCs w:val="12"/>
        </w:rPr>
        <w:t>Services</w:t>
      </w:r>
      <w:r w:rsidRPr="00B55ADC">
        <w:rPr>
          <w:color w:val="000000"/>
          <w:sz w:val="12"/>
          <w:szCs w:val="12"/>
        </w:rPr>
        <w:t xml:space="preserve"> en même temps que </w:t>
      </w:r>
      <w:r w:rsidR="00CB7136">
        <w:rPr>
          <w:color w:val="000000"/>
          <w:sz w:val="12"/>
          <w:szCs w:val="12"/>
        </w:rPr>
        <w:t>d’</w:t>
      </w:r>
      <w:r w:rsidRPr="00B55ADC">
        <w:rPr>
          <w:color w:val="000000"/>
          <w:sz w:val="12"/>
          <w:szCs w:val="12"/>
        </w:rPr>
        <w:t>autres.</w:t>
      </w:r>
    </w:p>
    <w:p w14:paraId="5E6B0D65" w14:textId="0998AA7C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292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 xml:space="preserve">LIVRAISON DE </w:t>
      </w:r>
      <w:r w:rsidR="00CE4FA4">
        <w:rPr>
          <w:b/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. </w:t>
      </w:r>
      <w:r w:rsidR="00361BFD">
        <w:rPr>
          <w:color w:val="000000"/>
          <w:sz w:val="12"/>
          <w:szCs w:val="12"/>
        </w:rPr>
        <w:t>Sauf disposition</w:t>
      </w:r>
      <w:r w:rsidRPr="00B55ADC">
        <w:rPr>
          <w:color w:val="000000"/>
          <w:sz w:val="12"/>
          <w:szCs w:val="12"/>
        </w:rPr>
        <w:t xml:space="preserve"> contraire dans la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,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livre le</w:t>
      </w:r>
      <w:r w:rsidR="00ED3736">
        <w:rPr>
          <w:color w:val="000000"/>
          <w:sz w:val="12"/>
          <w:szCs w:val="12"/>
        </w:rPr>
        <w:t xml:space="preserve">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</w:t>
      </w:r>
      <w:r w:rsidR="000F4A94">
        <w:rPr>
          <w:color w:val="000000"/>
          <w:sz w:val="12"/>
          <w:szCs w:val="12"/>
        </w:rPr>
        <w:t>RDA</w:t>
      </w:r>
      <w:r w:rsidRPr="00B55ADC">
        <w:rPr>
          <w:color w:val="000000"/>
          <w:sz w:val="12"/>
          <w:szCs w:val="12"/>
        </w:rPr>
        <w:t xml:space="preserve"> (</w:t>
      </w:r>
      <w:r w:rsidR="000F4A94">
        <w:rPr>
          <w:color w:val="000000"/>
          <w:sz w:val="12"/>
          <w:szCs w:val="12"/>
        </w:rPr>
        <w:t xml:space="preserve">rendu </w:t>
      </w:r>
      <w:r w:rsidRPr="00B55ADC">
        <w:rPr>
          <w:color w:val="000000"/>
          <w:sz w:val="12"/>
          <w:szCs w:val="12"/>
        </w:rPr>
        <w:t>droi</w:t>
      </w:r>
      <w:r w:rsidR="000F4A94">
        <w:rPr>
          <w:color w:val="000000"/>
          <w:sz w:val="12"/>
          <w:szCs w:val="12"/>
        </w:rPr>
        <w:t>ts acquittés</w:t>
      </w:r>
      <w:r w:rsidRPr="00B55ADC">
        <w:rPr>
          <w:color w:val="000000"/>
          <w:sz w:val="12"/>
          <w:szCs w:val="12"/>
        </w:rPr>
        <w:t>) à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adresse de livraison ou à la destination indiquée dans le bon de commande. La livraison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doit être faite libre et quitte de </w:t>
      </w:r>
      <w:r w:rsidR="00A50E39">
        <w:rPr>
          <w:color w:val="000000"/>
          <w:sz w:val="12"/>
          <w:szCs w:val="12"/>
        </w:rPr>
        <w:t xml:space="preserve">l’ensemble des </w:t>
      </w:r>
      <w:r w:rsidRPr="00B55ADC">
        <w:rPr>
          <w:color w:val="000000"/>
          <w:sz w:val="12"/>
          <w:szCs w:val="12"/>
        </w:rPr>
        <w:t xml:space="preserve">privilèges, priorités, </w:t>
      </w:r>
      <w:r w:rsidR="00A50E39">
        <w:rPr>
          <w:color w:val="000000"/>
          <w:sz w:val="12"/>
          <w:szCs w:val="12"/>
        </w:rPr>
        <w:t>hypothèques, droit</w:t>
      </w:r>
      <w:r w:rsidR="000E52AC">
        <w:rPr>
          <w:color w:val="000000"/>
          <w:sz w:val="12"/>
          <w:szCs w:val="12"/>
        </w:rPr>
        <w:t>s</w:t>
      </w:r>
      <w:r w:rsidR="00A50E39">
        <w:rPr>
          <w:color w:val="000000"/>
          <w:sz w:val="12"/>
          <w:szCs w:val="12"/>
        </w:rPr>
        <w:t xml:space="preserve"> de rétention,</w:t>
      </w:r>
      <w:r w:rsidR="000E52AC">
        <w:rPr>
          <w:color w:val="000000"/>
          <w:sz w:val="12"/>
          <w:szCs w:val="12"/>
        </w:rPr>
        <w:t xml:space="preserve"> </w:t>
      </w:r>
      <w:r w:rsidR="005F51C8">
        <w:rPr>
          <w:color w:val="000000"/>
          <w:sz w:val="12"/>
          <w:szCs w:val="12"/>
        </w:rPr>
        <w:t>charges</w:t>
      </w:r>
      <w:r w:rsidRPr="00B55ADC">
        <w:rPr>
          <w:color w:val="000000"/>
          <w:sz w:val="12"/>
          <w:szCs w:val="12"/>
        </w:rPr>
        <w:t xml:space="preserve"> et sûretés dans le délai et de la manière indiqués dans l</w:t>
      </w:r>
      <w:r w:rsidR="004F7AC0">
        <w:rPr>
          <w:color w:val="000000"/>
          <w:sz w:val="12"/>
          <w:szCs w:val="12"/>
        </w:rPr>
        <w:t xml:space="preserve">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ne doit livrer aucun </w:t>
      </w:r>
      <w:r w:rsidR="006F57B6">
        <w:rPr>
          <w:color w:val="000000"/>
          <w:sz w:val="12"/>
          <w:szCs w:val="12"/>
        </w:rPr>
        <w:t>B</w:t>
      </w:r>
      <w:r w:rsidR="001A79FA">
        <w:rPr>
          <w:color w:val="000000"/>
          <w:sz w:val="12"/>
          <w:szCs w:val="12"/>
        </w:rPr>
        <w:t>iens/</w:t>
      </w:r>
      <w:r w:rsidR="006F57B6">
        <w:rPr>
          <w:color w:val="000000"/>
          <w:sz w:val="12"/>
          <w:szCs w:val="12"/>
        </w:rPr>
        <w:t>S</w:t>
      </w:r>
      <w:r w:rsidR="00CE4FA4">
        <w:rPr>
          <w:color w:val="000000"/>
          <w:sz w:val="12"/>
          <w:szCs w:val="12"/>
        </w:rPr>
        <w:t xml:space="preserve">ervices </w:t>
      </w:r>
      <w:r w:rsidRPr="00B55ADC">
        <w:rPr>
          <w:color w:val="000000"/>
          <w:sz w:val="12"/>
          <w:szCs w:val="12"/>
        </w:rPr>
        <w:t>plus tard</w:t>
      </w:r>
      <w:r w:rsidR="005C53A9">
        <w:rPr>
          <w:color w:val="000000"/>
          <w:sz w:val="12"/>
          <w:szCs w:val="12"/>
        </w:rPr>
        <w:t xml:space="preserve"> qu’</w:t>
      </w:r>
      <w:r w:rsidR="005C53A9" w:rsidRPr="005C53A9">
        <w:rPr>
          <w:color w:val="000000"/>
          <w:sz w:val="12"/>
          <w:szCs w:val="12"/>
        </w:rPr>
        <w:t>une date de livraison prévue</w:t>
      </w:r>
      <w:r w:rsidR="005C53A9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 xml:space="preserve">ou </w:t>
      </w:r>
      <w:r w:rsidR="00DA780C">
        <w:rPr>
          <w:color w:val="000000"/>
          <w:sz w:val="12"/>
          <w:szCs w:val="12"/>
        </w:rPr>
        <w:t>considéra</w:t>
      </w:r>
      <w:r w:rsidR="00CD779A">
        <w:rPr>
          <w:color w:val="000000"/>
          <w:sz w:val="12"/>
          <w:szCs w:val="12"/>
        </w:rPr>
        <w:t>b</w:t>
      </w:r>
      <w:r w:rsidRPr="00B55ADC">
        <w:rPr>
          <w:color w:val="000000"/>
          <w:sz w:val="12"/>
          <w:szCs w:val="12"/>
        </w:rPr>
        <w:t xml:space="preserve">lement avant une date de livraison prévue. Si une partie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est livrée à Interfor </w:t>
      </w:r>
      <w:r w:rsidR="00DA780C">
        <w:rPr>
          <w:color w:val="000000"/>
          <w:sz w:val="12"/>
          <w:szCs w:val="12"/>
        </w:rPr>
        <w:t>considéra</w:t>
      </w:r>
      <w:r w:rsidR="00CD779A">
        <w:rPr>
          <w:color w:val="000000"/>
          <w:sz w:val="12"/>
          <w:szCs w:val="12"/>
        </w:rPr>
        <w:t>b</w:t>
      </w:r>
      <w:r w:rsidRPr="00B55ADC">
        <w:rPr>
          <w:color w:val="000000"/>
          <w:sz w:val="12"/>
          <w:szCs w:val="12"/>
        </w:rPr>
        <w:t xml:space="preserve">lement avant une date de livraison prévue, Interfor peut refuser </w:t>
      </w:r>
      <w:r w:rsidR="002C1DDD">
        <w:rPr>
          <w:color w:val="000000"/>
          <w:sz w:val="12"/>
          <w:szCs w:val="12"/>
        </w:rPr>
        <w:t>d’accepter</w:t>
      </w:r>
      <w:r w:rsidRPr="00B55ADC">
        <w:rPr>
          <w:color w:val="000000"/>
          <w:sz w:val="12"/>
          <w:szCs w:val="12"/>
        </w:rPr>
        <w:t xml:space="preserve"> ces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sans préjudice de son droit de refuser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accepter des expéditions ultérieures livrées avant une date de livraison prévue, ou retourner les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au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aux frais du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. </w:t>
      </w:r>
      <w:r w:rsidR="001B3461">
        <w:rPr>
          <w:color w:val="000000"/>
          <w:sz w:val="12"/>
          <w:szCs w:val="12"/>
        </w:rPr>
        <w:t>L</w:t>
      </w:r>
      <w:r w:rsidR="00CE7149">
        <w:rPr>
          <w:color w:val="000000"/>
          <w:sz w:val="12"/>
          <w:szCs w:val="12"/>
        </w:rPr>
        <w:t xml:space="preserve">e fait pour </w:t>
      </w:r>
      <w:r w:rsidRPr="00B55ADC">
        <w:rPr>
          <w:color w:val="000000"/>
          <w:sz w:val="12"/>
          <w:szCs w:val="12"/>
        </w:rPr>
        <w:t xml:space="preserve">Interfor </w:t>
      </w:r>
      <w:r w:rsidR="007A4F73">
        <w:rPr>
          <w:color w:val="000000"/>
          <w:sz w:val="12"/>
          <w:szCs w:val="12"/>
        </w:rPr>
        <w:t>de</w:t>
      </w:r>
      <w:r w:rsidR="00CE7149">
        <w:rPr>
          <w:color w:val="000000"/>
          <w:sz w:val="12"/>
          <w:szCs w:val="12"/>
        </w:rPr>
        <w:t xml:space="preserve"> conserver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livrés </w:t>
      </w:r>
      <w:r w:rsidR="007A4F73">
        <w:rPr>
          <w:color w:val="000000"/>
          <w:sz w:val="12"/>
          <w:szCs w:val="12"/>
        </w:rPr>
        <w:t>considéra</w:t>
      </w:r>
      <w:r w:rsidRPr="00B55ADC">
        <w:rPr>
          <w:color w:val="000000"/>
          <w:sz w:val="12"/>
          <w:szCs w:val="12"/>
        </w:rPr>
        <w:t xml:space="preserve">blement avant une date de livraison prévue </w:t>
      </w:r>
      <w:r w:rsidR="001B3461">
        <w:rPr>
          <w:color w:val="000000"/>
          <w:sz w:val="12"/>
          <w:szCs w:val="12"/>
        </w:rPr>
        <w:t>n’accélère pas le moment</w:t>
      </w:r>
      <w:r w:rsidR="00A0215D">
        <w:rPr>
          <w:color w:val="000000"/>
          <w:sz w:val="12"/>
          <w:szCs w:val="12"/>
        </w:rPr>
        <w:t xml:space="preserve"> du paiement par Interfor</w:t>
      </w:r>
      <w:r w:rsidRPr="00B55ADC">
        <w:rPr>
          <w:color w:val="000000"/>
          <w:sz w:val="12"/>
          <w:szCs w:val="12"/>
        </w:rPr>
        <w:t xml:space="preserve">. Les expéditions excédentaires peuvent être retournées aux frais du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ou être conservées par Interfor sans augmentation du prix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. Si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ne respecte pas le calendrier de livraison, Interfor peut, à</w:t>
      </w:r>
      <w:r w:rsidR="00E76437">
        <w:rPr>
          <w:color w:val="000000"/>
          <w:sz w:val="12"/>
          <w:szCs w:val="12"/>
        </w:rPr>
        <w:t xml:space="preserve"> sa seule discrétion</w:t>
      </w:r>
      <w:r w:rsidRPr="00B55ADC">
        <w:rPr>
          <w:color w:val="000000"/>
          <w:sz w:val="12"/>
          <w:szCs w:val="12"/>
        </w:rPr>
        <w:t xml:space="preserve">, convenir de réviser le calendrier de livraison ou résilier la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 sans </w:t>
      </w:r>
      <w:r w:rsidR="00B378B3">
        <w:rPr>
          <w:color w:val="000000"/>
          <w:sz w:val="12"/>
          <w:szCs w:val="12"/>
        </w:rPr>
        <w:t>qu’Interfor n’</w:t>
      </w:r>
      <w:r w:rsidRPr="00B55ADC">
        <w:rPr>
          <w:color w:val="000000"/>
          <w:sz w:val="12"/>
          <w:szCs w:val="12"/>
        </w:rPr>
        <w:t>en</w:t>
      </w:r>
      <w:r w:rsidR="00A52592">
        <w:rPr>
          <w:color w:val="000000"/>
          <w:sz w:val="12"/>
          <w:szCs w:val="12"/>
        </w:rPr>
        <w:t>coure</w:t>
      </w:r>
      <w:r w:rsidR="00B378B3">
        <w:rPr>
          <w:color w:val="000000"/>
          <w:sz w:val="12"/>
          <w:szCs w:val="12"/>
        </w:rPr>
        <w:t xml:space="preserve"> quelque</w:t>
      </w:r>
      <w:r w:rsidRPr="00B55ADC">
        <w:rPr>
          <w:color w:val="000000"/>
          <w:sz w:val="12"/>
          <w:szCs w:val="12"/>
        </w:rPr>
        <w:t xml:space="preserve"> responsabilité.</w:t>
      </w:r>
    </w:p>
    <w:p w14:paraId="36A6ACB2" w14:textId="1521A65C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TITRE ET RISQUE</w:t>
      </w:r>
      <w:r w:rsidRPr="00B55ADC">
        <w:rPr>
          <w:color w:val="000000"/>
          <w:sz w:val="12"/>
          <w:szCs w:val="12"/>
        </w:rPr>
        <w:t xml:space="preserve">. La propriété et le titre de propriété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>, ou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une partie de ce</w:t>
      </w:r>
      <w:r w:rsidR="001154CE">
        <w:rPr>
          <w:color w:val="000000"/>
          <w:sz w:val="12"/>
          <w:szCs w:val="12"/>
        </w:rPr>
        <w:t>ux</w:t>
      </w:r>
      <w:r w:rsidRPr="00B55ADC">
        <w:rPr>
          <w:color w:val="000000"/>
          <w:sz w:val="12"/>
          <w:szCs w:val="12"/>
        </w:rPr>
        <w:t xml:space="preserve">-ci, sont transférés à Interfor dès la livraison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ou de la partie de ce</w:t>
      </w:r>
      <w:r w:rsidR="001154CE">
        <w:rPr>
          <w:color w:val="000000"/>
          <w:sz w:val="12"/>
          <w:szCs w:val="12"/>
        </w:rPr>
        <w:t>ux</w:t>
      </w:r>
      <w:r w:rsidRPr="00B55ADC">
        <w:rPr>
          <w:color w:val="000000"/>
          <w:sz w:val="12"/>
          <w:szCs w:val="12"/>
        </w:rPr>
        <w:t xml:space="preserve">-ci au </w:t>
      </w:r>
      <w:r w:rsidR="001154CE">
        <w:rPr>
          <w:color w:val="000000"/>
          <w:sz w:val="12"/>
          <w:szCs w:val="12"/>
        </w:rPr>
        <w:t>p</w:t>
      </w:r>
      <w:r w:rsidRPr="00B55ADC">
        <w:rPr>
          <w:color w:val="000000"/>
          <w:sz w:val="12"/>
          <w:szCs w:val="12"/>
        </w:rPr>
        <w:t xml:space="preserve">oint de livraison, étant entendu que le titre de propriété des éléments qui ont été payés par Interfor avant la livraison sera dévolu à Interfor à </w:t>
      </w:r>
      <w:r w:rsidR="000258E3">
        <w:rPr>
          <w:color w:val="000000"/>
          <w:sz w:val="12"/>
          <w:szCs w:val="12"/>
        </w:rPr>
        <w:t>parti</w:t>
      </w:r>
      <w:r w:rsidRPr="00B55ADC">
        <w:rPr>
          <w:color w:val="000000"/>
          <w:sz w:val="12"/>
          <w:szCs w:val="12"/>
        </w:rPr>
        <w:t xml:space="preserve">r du moment de ce paiement.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assume le risque de perte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jusqu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à ce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ils soient livrés à Interfor.</w:t>
      </w:r>
    </w:p>
    <w:p w14:paraId="1F58AAA0" w14:textId="2106C936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OCTROI DE S</w:t>
      </w:r>
      <w:r w:rsidR="00D726B4">
        <w:rPr>
          <w:b/>
          <w:color w:val="000000"/>
          <w:sz w:val="12"/>
          <w:szCs w:val="12"/>
        </w:rPr>
        <w:t>ÛRETÉ</w:t>
      </w:r>
      <w:r w:rsidRPr="00B55ADC">
        <w:rPr>
          <w:color w:val="000000"/>
          <w:sz w:val="12"/>
          <w:szCs w:val="12"/>
        </w:rPr>
        <w:t xml:space="preserve">. Si Interfor a payé une partie du prix contractuel avant le transfert du titre de propriété </w:t>
      </w:r>
      <w:r w:rsidR="001A79FA">
        <w:rPr>
          <w:color w:val="000000"/>
          <w:sz w:val="12"/>
          <w:szCs w:val="12"/>
        </w:rPr>
        <w:t>des Biens</w:t>
      </w:r>
      <w:r w:rsidRPr="00B55ADC">
        <w:rPr>
          <w:color w:val="000000"/>
          <w:sz w:val="12"/>
          <w:szCs w:val="12"/>
        </w:rPr>
        <w:t xml:space="preserve"> à Interfor, la présente </w:t>
      </w:r>
      <w:r w:rsidR="000D77C6">
        <w:rPr>
          <w:color w:val="000000"/>
          <w:sz w:val="12"/>
          <w:szCs w:val="12"/>
        </w:rPr>
        <w:t>clause</w:t>
      </w:r>
      <w:r w:rsidRPr="00B55ADC">
        <w:rPr>
          <w:color w:val="000000"/>
          <w:sz w:val="12"/>
          <w:szCs w:val="12"/>
        </w:rPr>
        <w:t xml:space="preserve"> s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applique et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accorde par les présentes à Interfor une sûreté de premier rang grevant </w:t>
      </w:r>
      <w:r w:rsidR="00F02167" w:rsidRPr="00F02167">
        <w:rPr>
          <w:color w:val="000000"/>
          <w:sz w:val="12"/>
          <w:szCs w:val="12"/>
        </w:rPr>
        <w:t xml:space="preserve">tous les stocks, </w:t>
      </w:r>
      <w:r w:rsidR="00F02167">
        <w:rPr>
          <w:color w:val="000000"/>
          <w:sz w:val="12"/>
          <w:szCs w:val="12"/>
        </w:rPr>
        <w:t xml:space="preserve">inventaires, </w:t>
      </w:r>
      <w:r w:rsidRPr="00B55ADC">
        <w:rPr>
          <w:color w:val="000000"/>
          <w:sz w:val="12"/>
          <w:szCs w:val="12"/>
        </w:rPr>
        <w:t>composantes, pièces, matières premières et travaux en cours actuellement ou ultérieurement acquis ou utilisés pour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assemblage, la fabrication ou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exploitation (l</w:t>
      </w:r>
      <w:r w:rsidR="00673A10">
        <w:rPr>
          <w:color w:val="000000"/>
          <w:sz w:val="12"/>
          <w:szCs w:val="12"/>
        </w:rPr>
        <w:t>e</w:t>
      </w:r>
      <w:r w:rsidR="0097080E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« </w:t>
      </w:r>
      <w:r w:rsidR="00501F0D">
        <w:rPr>
          <w:b/>
          <w:color w:val="000000"/>
          <w:sz w:val="12"/>
          <w:szCs w:val="12"/>
        </w:rPr>
        <w:t>Biens grevés</w:t>
      </w:r>
      <w:r>
        <w:rPr>
          <w:color w:val="000000"/>
          <w:sz w:val="12"/>
          <w:szCs w:val="12"/>
        </w:rPr>
        <w:t> »</w:t>
      </w:r>
      <w:r w:rsidRPr="00B55ADC">
        <w:rPr>
          <w:color w:val="000000"/>
          <w:sz w:val="12"/>
          <w:szCs w:val="12"/>
        </w:rPr>
        <w:t xml:space="preserve">).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reconnaît que la sûreté créée </w:t>
      </w:r>
      <w:r w:rsidR="0097080E" w:rsidRPr="0097080E">
        <w:rPr>
          <w:color w:val="000000"/>
          <w:sz w:val="12"/>
          <w:szCs w:val="12"/>
        </w:rPr>
        <w:t>par les présentes</w:t>
      </w:r>
      <w:r w:rsidR="009927EF">
        <w:rPr>
          <w:color w:val="000000"/>
          <w:sz w:val="12"/>
          <w:szCs w:val="12"/>
        </w:rPr>
        <w:t xml:space="preserve"> prend naissance à</w:t>
      </w:r>
      <w:r w:rsidRPr="00B55ADC">
        <w:rPr>
          <w:color w:val="000000"/>
          <w:sz w:val="12"/>
          <w:szCs w:val="12"/>
        </w:rPr>
        <w:t xml:space="preserve"> l</w:t>
      </w:r>
      <w:r w:rsidR="009927EF">
        <w:rPr>
          <w:color w:val="000000"/>
          <w:sz w:val="12"/>
          <w:szCs w:val="12"/>
        </w:rPr>
        <w:t>a signature</w:t>
      </w:r>
      <w:r w:rsidRPr="00B55ADC">
        <w:rPr>
          <w:color w:val="000000"/>
          <w:sz w:val="12"/>
          <w:szCs w:val="12"/>
        </w:rPr>
        <w:t xml:space="preserve"> du </w:t>
      </w:r>
      <w:r w:rsidR="007E2C3A">
        <w:rPr>
          <w:color w:val="000000"/>
          <w:sz w:val="12"/>
          <w:szCs w:val="12"/>
        </w:rPr>
        <w:t>c</w:t>
      </w:r>
      <w:r w:rsidRPr="00B55ADC">
        <w:rPr>
          <w:color w:val="000000"/>
          <w:sz w:val="12"/>
          <w:szCs w:val="12"/>
        </w:rPr>
        <w:t>ontrat (ou, dans le cas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un bien </w:t>
      </w:r>
      <w:r w:rsidR="00D87611">
        <w:rPr>
          <w:color w:val="000000"/>
          <w:sz w:val="12"/>
          <w:szCs w:val="12"/>
        </w:rPr>
        <w:t>acquis ultérieurement</w:t>
      </w:r>
      <w:r w:rsidRPr="00B55ADC">
        <w:rPr>
          <w:color w:val="000000"/>
          <w:sz w:val="12"/>
          <w:szCs w:val="12"/>
        </w:rPr>
        <w:t xml:space="preserve">, à la date de son acquisition), </w:t>
      </w:r>
      <w:r w:rsidR="008101FA">
        <w:rPr>
          <w:color w:val="000000"/>
          <w:sz w:val="12"/>
          <w:szCs w:val="12"/>
        </w:rPr>
        <w:t>qu’une</w:t>
      </w:r>
      <w:r w:rsidRPr="00B55ADC">
        <w:rPr>
          <w:color w:val="000000"/>
          <w:sz w:val="12"/>
          <w:szCs w:val="12"/>
        </w:rPr>
        <w:t xml:space="preserve"> valeur a été donnée et qu</w:t>
      </w:r>
      <w:r>
        <w:rPr>
          <w:color w:val="000000"/>
          <w:sz w:val="12"/>
          <w:szCs w:val="12"/>
        </w:rPr>
        <w:t>’</w:t>
      </w:r>
      <w:r w:rsidR="00C37A7C">
        <w:rPr>
          <w:color w:val="000000"/>
          <w:sz w:val="12"/>
          <w:szCs w:val="12"/>
        </w:rPr>
        <w:t>il</w:t>
      </w:r>
      <w:r w:rsidRPr="00B55ADC">
        <w:rPr>
          <w:color w:val="000000"/>
          <w:sz w:val="12"/>
          <w:szCs w:val="12"/>
        </w:rPr>
        <w:t xml:space="preserve"> a, ou, dans le cas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un bien a</w:t>
      </w:r>
      <w:r w:rsidR="00145D26">
        <w:rPr>
          <w:color w:val="000000"/>
          <w:sz w:val="12"/>
          <w:szCs w:val="12"/>
        </w:rPr>
        <w:t>cquis ultérieurement</w:t>
      </w:r>
      <w:r w:rsidRPr="00B55ADC">
        <w:rPr>
          <w:color w:val="000000"/>
          <w:sz w:val="12"/>
          <w:szCs w:val="12"/>
        </w:rPr>
        <w:t xml:space="preserve">, </w:t>
      </w:r>
      <w:r w:rsidR="00145D26">
        <w:rPr>
          <w:color w:val="000000"/>
          <w:sz w:val="12"/>
          <w:szCs w:val="12"/>
        </w:rPr>
        <w:t xml:space="preserve">aura </w:t>
      </w:r>
      <w:r w:rsidRPr="00B55ADC">
        <w:rPr>
          <w:color w:val="000000"/>
          <w:sz w:val="12"/>
          <w:szCs w:val="12"/>
        </w:rPr>
        <w:t>des droits sur l</w:t>
      </w:r>
      <w:r w:rsidR="00145D26">
        <w:rPr>
          <w:color w:val="000000"/>
          <w:sz w:val="12"/>
          <w:szCs w:val="12"/>
        </w:rPr>
        <w:t xml:space="preserve">es </w:t>
      </w:r>
      <w:r w:rsidR="00501F0D">
        <w:rPr>
          <w:color w:val="000000"/>
          <w:sz w:val="12"/>
          <w:szCs w:val="12"/>
        </w:rPr>
        <w:t>Biens grevés</w:t>
      </w:r>
      <w:r w:rsidRPr="00B55ADC">
        <w:rPr>
          <w:color w:val="000000"/>
          <w:sz w:val="12"/>
          <w:szCs w:val="12"/>
        </w:rPr>
        <w:t xml:space="preserve"> et convient en outre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il doit signer et remettre </w:t>
      </w:r>
      <w:r w:rsidR="002706DE">
        <w:rPr>
          <w:color w:val="000000"/>
          <w:sz w:val="12"/>
          <w:szCs w:val="12"/>
        </w:rPr>
        <w:t>l</w:t>
      </w:r>
      <w:r w:rsidRPr="00B55ADC">
        <w:rPr>
          <w:color w:val="000000"/>
          <w:sz w:val="12"/>
          <w:szCs w:val="12"/>
        </w:rPr>
        <w:t>es autres documents et prendre toutes les mesures que les conseillers juridiques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Interfor peuvent raisonnablement exiger pour confirmer, parfaire</w:t>
      </w:r>
      <w:r w:rsidR="0061440C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 xml:space="preserve">et </w:t>
      </w:r>
      <w:r w:rsidR="0061440C">
        <w:rPr>
          <w:color w:val="000000"/>
          <w:sz w:val="12"/>
          <w:szCs w:val="12"/>
        </w:rPr>
        <w:t xml:space="preserve">maintenir la perfection </w:t>
      </w:r>
      <w:r w:rsidR="00D325CD">
        <w:rPr>
          <w:color w:val="000000"/>
          <w:sz w:val="12"/>
          <w:szCs w:val="12"/>
        </w:rPr>
        <w:t xml:space="preserve">et </w:t>
      </w:r>
      <w:r w:rsidRPr="00B55ADC">
        <w:rPr>
          <w:color w:val="000000"/>
          <w:sz w:val="12"/>
          <w:szCs w:val="12"/>
        </w:rPr>
        <w:t>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opposabilité de la sûreté de premier rang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Interfor sur les </w:t>
      </w:r>
      <w:r w:rsidR="00501F0D" w:rsidRPr="00CB2EA7">
        <w:rPr>
          <w:color w:val="000000"/>
          <w:sz w:val="12"/>
          <w:szCs w:val="12"/>
        </w:rPr>
        <w:t>Biens grevés</w:t>
      </w:r>
      <w:r w:rsidRPr="00CB2EA7">
        <w:rPr>
          <w:color w:val="000000"/>
          <w:sz w:val="12"/>
          <w:szCs w:val="12"/>
        </w:rPr>
        <w:t xml:space="preserve"> conformément à l’article 9 d</w:t>
      </w:r>
      <w:r w:rsidR="00E73E2A" w:rsidRPr="00CB2EA7">
        <w:rPr>
          <w:color w:val="000000"/>
          <w:sz w:val="12"/>
          <w:szCs w:val="12"/>
        </w:rPr>
        <w:t xml:space="preserve">u </w:t>
      </w:r>
      <w:r w:rsidR="009F2DF2" w:rsidRPr="00CB2EA7">
        <w:rPr>
          <w:i/>
          <w:iCs/>
          <w:color w:val="000000"/>
          <w:sz w:val="12"/>
          <w:szCs w:val="12"/>
        </w:rPr>
        <w:t>Uniform Commercial Code</w:t>
      </w:r>
      <w:r w:rsidR="0084006E" w:rsidRPr="00CB2EA7">
        <w:rPr>
          <w:color w:val="000000"/>
          <w:sz w:val="12"/>
          <w:szCs w:val="12"/>
        </w:rPr>
        <w:t xml:space="preserve">, </w:t>
      </w:r>
      <w:r w:rsidR="00E73E2A" w:rsidRPr="00CB2EA7">
        <w:rPr>
          <w:color w:val="000000"/>
          <w:sz w:val="12"/>
          <w:szCs w:val="12"/>
        </w:rPr>
        <w:t xml:space="preserve">de la </w:t>
      </w:r>
      <w:proofErr w:type="spellStart"/>
      <w:r w:rsidR="00524898" w:rsidRPr="00CB2EA7">
        <w:rPr>
          <w:i/>
          <w:iCs/>
          <w:color w:val="000000"/>
          <w:sz w:val="12"/>
          <w:szCs w:val="12"/>
        </w:rPr>
        <w:t>Personal</w:t>
      </w:r>
      <w:proofErr w:type="spellEnd"/>
      <w:r w:rsidR="00524898" w:rsidRPr="00CB2EA7">
        <w:rPr>
          <w:i/>
          <w:iCs/>
          <w:color w:val="000000"/>
          <w:sz w:val="12"/>
          <w:szCs w:val="12"/>
        </w:rPr>
        <w:t xml:space="preserve"> </w:t>
      </w:r>
      <w:proofErr w:type="spellStart"/>
      <w:r w:rsidR="00524898" w:rsidRPr="00CB2EA7">
        <w:rPr>
          <w:i/>
          <w:iCs/>
          <w:color w:val="000000"/>
          <w:sz w:val="12"/>
          <w:szCs w:val="12"/>
        </w:rPr>
        <w:t>Property</w:t>
      </w:r>
      <w:proofErr w:type="spellEnd"/>
      <w:r w:rsidR="00524898" w:rsidRPr="00CB2EA7">
        <w:rPr>
          <w:i/>
          <w:iCs/>
          <w:color w:val="000000"/>
          <w:sz w:val="12"/>
          <w:szCs w:val="12"/>
        </w:rPr>
        <w:t xml:space="preserve"> Security </w:t>
      </w:r>
      <w:proofErr w:type="spellStart"/>
      <w:r w:rsidR="00524898" w:rsidRPr="00CB2EA7">
        <w:rPr>
          <w:i/>
          <w:iCs/>
          <w:color w:val="000000"/>
          <w:sz w:val="12"/>
          <w:szCs w:val="12"/>
        </w:rPr>
        <w:t>Act</w:t>
      </w:r>
      <w:proofErr w:type="spellEnd"/>
      <w:r w:rsidR="0013469C" w:rsidRPr="0013469C">
        <w:rPr>
          <w:color w:val="000000"/>
          <w:sz w:val="12"/>
          <w:szCs w:val="12"/>
        </w:rPr>
        <w:t xml:space="preserve">, </w:t>
      </w:r>
      <w:r w:rsidR="001A79FA" w:rsidRPr="00CB2EA7">
        <w:rPr>
          <w:iCs/>
          <w:color w:val="000000"/>
          <w:sz w:val="12"/>
          <w:szCs w:val="12"/>
        </w:rPr>
        <w:t xml:space="preserve">du </w:t>
      </w:r>
      <w:r w:rsidR="0084006E" w:rsidRPr="00CB2EA7">
        <w:rPr>
          <w:i/>
          <w:iCs/>
          <w:color w:val="000000"/>
          <w:sz w:val="12"/>
          <w:szCs w:val="12"/>
        </w:rPr>
        <w:t>Code Civil du Québec</w:t>
      </w:r>
      <w:r w:rsidR="0084006E" w:rsidRPr="00CB2EA7">
        <w:rPr>
          <w:iCs/>
          <w:color w:val="000000"/>
          <w:sz w:val="12"/>
          <w:szCs w:val="12"/>
        </w:rPr>
        <w:t xml:space="preserve">, </w:t>
      </w:r>
      <w:r w:rsidRPr="00CB2EA7">
        <w:rPr>
          <w:color w:val="000000"/>
          <w:sz w:val="12"/>
          <w:szCs w:val="12"/>
        </w:rPr>
        <w:t>selon le cas, ou d’autres lois applicables</w:t>
      </w:r>
      <w:r w:rsidR="003662FB">
        <w:rPr>
          <w:color w:val="000000"/>
          <w:sz w:val="12"/>
          <w:szCs w:val="12"/>
        </w:rPr>
        <w:t xml:space="preserve"> à l’endroit où les Biens/Services sont fournis. </w:t>
      </w:r>
    </w:p>
    <w:p w14:paraId="5360A04E" w14:textId="19AD1C3E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EMBALLAGE</w:t>
      </w:r>
      <w:r w:rsidR="007E0039" w:rsidRPr="007E0039">
        <w:rPr>
          <w:bCs/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Tous les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doivent être convenablement emballés pour être expédiés par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à ses frais. Sauf disposition contraire d</w:t>
      </w:r>
      <w:r w:rsidR="00DB7314">
        <w:rPr>
          <w:color w:val="000000"/>
          <w:sz w:val="12"/>
          <w:szCs w:val="12"/>
        </w:rPr>
        <w:t>e la</w:t>
      </w:r>
      <w:r w:rsidRPr="00B55ADC">
        <w:rPr>
          <w:color w:val="000000"/>
          <w:sz w:val="12"/>
          <w:szCs w:val="12"/>
        </w:rPr>
        <w:t xml:space="preserve"> présent</w:t>
      </w:r>
      <w:r w:rsidR="00DB7314">
        <w:rPr>
          <w:color w:val="000000"/>
          <w:sz w:val="12"/>
          <w:szCs w:val="12"/>
        </w:rPr>
        <w:t>e</w:t>
      </w:r>
      <w:r w:rsidRPr="00B55ADC">
        <w:rPr>
          <w:color w:val="000000"/>
          <w:sz w:val="12"/>
          <w:szCs w:val="12"/>
        </w:rPr>
        <w:t xml:space="preserve">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>, aucun</w:t>
      </w:r>
      <w:r w:rsidR="000E3D84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frais </w:t>
      </w:r>
      <w:r w:rsidR="00DF2BBD">
        <w:rPr>
          <w:color w:val="000000"/>
          <w:sz w:val="12"/>
          <w:szCs w:val="12"/>
        </w:rPr>
        <w:t xml:space="preserve">ou charges </w:t>
      </w:r>
      <w:r w:rsidRPr="00B55ADC">
        <w:rPr>
          <w:color w:val="000000"/>
          <w:sz w:val="12"/>
          <w:szCs w:val="12"/>
        </w:rPr>
        <w:t>ne ser</w:t>
      </w:r>
      <w:r w:rsidR="00905836">
        <w:rPr>
          <w:color w:val="000000"/>
          <w:sz w:val="12"/>
          <w:szCs w:val="12"/>
        </w:rPr>
        <w:t>ont</w:t>
      </w:r>
      <w:r w:rsidRPr="00B55ADC">
        <w:rPr>
          <w:color w:val="000000"/>
          <w:sz w:val="12"/>
          <w:szCs w:val="12"/>
        </w:rPr>
        <w:t xml:space="preserve"> autorisé</w:t>
      </w:r>
      <w:r w:rsidR="00905836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pour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emballage, l</w:t>
      </w:r>
      <w:r w:rsidR="00BC226C">
        <w:rPr>
          <w:color w:val="000000"/>
          <w:sz w:val="12"/>
          <w:szCs w:val="12"/>
        </w:rPr>
        <w:t>’encaissage</w:t>
      </w:r>
      <w:r w:rsidRPr="00B55ADC">
        <w:rPr>
          <w:color w:val="000000"/>
          <w:sz w:val="12"/>
          <w:szCs w:val="12"/>
        </w:rPr>
        <w:t>, l</w:t>
      </w:r>
      <w:r w:rsidR="005C0B3A">
        <w:rPr>
          <w:color w:val="000000"/>
          <w:sz w:val="12"/>
          <w:szCs w:val="12"/>
        </w:rPr>
        <w:t xml:space="preserve">e </w:t>
      </w:r>
      <w:proofErr w:type="spellStart"/>
      <w:r w:rsidR="005C0B3A">
        <w:rPr>
          <w:color w:val="000000"/>
          <w:sz w:val="12"/>
          <w:szCs w:val="12"/>
        </w:rPr>
        <w:t>caissage</w:t>
      </w:r>
      <w:proofErr w:type="spellEnd"/>
      <w:r w:rsidRPr="00B55ADC">
        <w:rPr>
          <w:color w:val="000000"/>
          <w:sz w:val="12"/>
          <w:szCs w:val="12"/>
        </w:rPr>
        <w:t xml:space="preserve"> ou le camionnage.</w:t>
      </w:r>
    </w:p>
    <w:p w14:paraId="076A8ACD" w14:textId="02907127" w:rsidR="00B55ADC" w:rsidRPr="00D66FF7" w:rsidRDefault="00BE799F" w:rsidP="00D66FF7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bCs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>INSPECTION</w:t>
      </w:r>
      <w:r w:rsidR="00D66FF7" w:rsidRPr="007E0039">
        <w:rPr>
          <w:bCs/>
          <w:color w:val="000000"/>
          <w:sz w:val="12"/>
          <w:szCs w:val="12"/>
        </w:rPr>
        <w:t>.</w:t>
      </w:r>
      <w:r w:rsidR="00B55ADC" w:rsidRPr="00D66FF7">
        <w:rPr>
          <w:b/>
          <w:color w:val="000000"/>
          <w:sz w:val="12"/>
          <w:szCs w:val="12"/>
        </w:rPr>
        <w:t xml:space="preserve"> </w:t>
      </w:r>
      <w:r w:rsidR="00B55ADC" w:rsidRPr="00D66FF7">
        <w:rPr>
          <w:bCs/>
          <w:color w:val="000000"/>
          <w:sz w:val="12"/>
          <w:szCs w:val="12"/>
        </w:rPr>
        <w:t xml:space="preserve">Tous les </w:t>
      </w:r>
      <w:r w:rsidR="00CE4FA4">
        <w:rPr>
          <w:bCs/>
          <w:color w:val="000000"/>
          <w:sz w:val="12"/>
          <w:szCs w:val="12"/>
        </w:rPr>
        <w:t>Biens</w:t>
      </w:r>
      <w:r w:rsidR="00B55ADC" w:rsidRPr="00D66FF7">
        <w:rPr>
          <w:bCs/>
          <w:color w:val="000000"/>
          <w:sz w:val="12"/>
          <w:szCs w:val="12"/>
        </w:rPr>
        <w:t xml:space="preserve"> livrés aux termes de la </w:t>
      </w:r>
      <w:r w:rsidR="006E7785">
        <w:rPr>
          <w:bCs/>
          <w:color w:val="000000"/>
          <w:sz w:val="12"/>
          <w:szCs w:val="12"/>
        </w:rPr>
        <w:t>Convention</w:t>
      </w:r>
      <w:r w:rsidR="00B55ADC" w:rsidRPr="00D66FF7">
        <w:rPr>
          <w:bCs/>
          <w:color w:val="000000"/>
          <w:sz w:val="12"/>
          <w:szCs w:val="12"/>
        </w:rPr>
        <w:t xml:space="preserve"> seront assujettis à l’inspection et à l’acceptation ou au rejet d’Interfor</w:t>
      </w:r>
      <w:r w:rsidR="00CF6CA3">
        <w:rPr>
          <w:bCs/>
          <w:color w:val="000000"/>
          <w:sz w:val="12"/>
          <w:szCs w:val="12"/>
        </w:rPr>
        <w:t>,</w:t>
      </w:r>
      <w:r w:rsidR="00B55ADC" w:rsidRPr="00D66FF7">
        <w:rPr>
          <w:bCs/>
          <w:color w:val="000000"/>
          <w:sz w:val="12"/>
          <w:szCs w:val="12"/>
        </w:rPr>
        <w:t xml:space="preserve"> à la livraison</w:t>
      </w:r>
      <w:r w:rsidR="00144BDA">
        <w:rPr>
          <w:bCs/>
          <w:color w:val="000000"/>
          <w:sz w:val="12"/>
          <w:szCs w:val="12"/>
        </w:rPr>
        <w:t xml:space="preserve"> et</w:t>
      </w:r>
      <w:r w:rsidR="00B55ADC" w:rsidRPr="00D66FF7">
        <w:rPr>
          <w:bCs/>
          <w:color w:val="000000"/>
          <w:sz w:val="12"/>
          <w:szCs w:val="12"/>
        </w:rPr>
        <w:t xml:space="preserve"> après l’installation des </w:t>
      </w:r>
      <w:r w:rsidR="00CE4FA4">
        <w:rPr>
          <w:bCs/>
          <w:color w:val="000000"/>
          <w:sz w:val="12"/>
          <w:szCs w:val="12"/>
        </w:rPr>
        <w:t>Biens</w:t>
      </w:r>
      <w:r w:rsidR="00B55ADC" w:rsidRPr="00D66FF7">
        <w:rPr>
          <w:bCs/>
          <w:color w:val="000000"/>
          <w:sz w:val="12"/>
          <w:szCs w:val="12"/>
        </w:rPr>
        <w:t xml:space="preserve">. Interfor avisera 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 dans un délai raisonnable de son rejet des </w:t>
      </w:r>
      <w:r w:rsidR="00CE4FA4">
        <w:rPr>
          <w:bCs/>
          <w:color w:val="000000"/>
          <w:sz w:val="12"/>
          <w:szCs w:val="12"/>
        </w:rPr>
        <w:t>Biens</w:t>
      </w:r>
      <w:r w:rsidR="00B55ADC" w:rsidRPr="00D66FF7">
        <w:rPr>
          <w:bCs/>
          <w:color w:val="000000"/>
          <w:sz w:val="12"/>
          <w:szCs w:val="12"/>
        </w:rPr>
        <w:t xml:space="preserve"> qui sont endommagés ou qui ne sont pas conformes aux </w:t>
      </w:r>
      <w:r w:rsidR="0035405A">
        <w:rPr>
          <w:bCs/>
          <w:color w:val="000000"/>
          <w:sz w:val="12"/>
          <w:szCs w:val="12"/>
        </w:rPr>
        <w:t xml:space="preserve">modalités et </w:t>
      </w:r>
      <w:r w:rsidR="00B55ADC" w:rsidRPr="00D66FF7">
        <w:rPr>
          <w:bCs/>
          <w:color w:val="000000"/>
          <w:sz w:val="12"/>
          <w:szCs w:val="12"/>
        </w:rPr>
        <w:t xml:space="preserve">conditions de la </w:t>
      </w:r>
      <w:r w:rsidR="006E7785">
        <w:rPr>
          <w:bCs/>
          <w:color w:val="000000"/>
          <w:sz w:val="12"/>
          <w:szCs w:val="12"/>
        </w:rPr>
        <w:t>Convention</w:t>
      </w:r>
      <w:r w:rsidR="00B55ADC" w:rsidRPr="00D66FF7">
        <w:rPr>
          <w:bCs/>
          <w:color w:val="000000"/>
          <w:sz w:val="12"/>
          <w:szCs w:val="12"/>
        </w:rPr>
        <w:t xml:space="preserve">. Interfor se réserve le droit : </w:t>
      </w:r>
      <w:r w:rsidR="00DD4333">
        <w:rPr>
          <w:bCs/>
          <w:color w:val="000000"/>
          <w:sz w:val="12"/>
          <w:szCs w:val="12"/>
        </w:rPr>
        <w:t xml:space="preserve">a) de </w:t>
      </w:r>
      <w:r w:rsidR="00B55ADC" w:rsidRPr="00D66FF7">
        <w:rPr>
          <w:bCs/>
          <w:color w:val="000000"/>
          <w:sz w:val="12"/>
          <w:szCs w:val="12"/>
        </w:rPr>
        <w:t xml:space="preserve">détenir les </w:t>
      </w:r>
      <w:r w:rsidR="00CE4FA4">
        <w:rPr>
          <w:bCs/>
          <w:color w:val="000000"/>
          <w:sz w:val="12"/>
          <w:szCs w:val="12"/>
        </w:rPr>
        <w:t>Biens</w:t>
      </w:r>
      <w:r w:rsidR="00B55ADC" w:rsidRPr="00D66FF7">
        <w:rPr>
          <w:bCs/>
          <w:color w:val="000000"/>
          <w:sz w:val="12"/>
          <w:szCs w:val="12"/>
        </w:rPr>
        <w:t xml:space="preserve"> re</w:t>
      </w:r>
      <w:r w:rsidR="00DE5F39">
        <w:rPr>
          <w:bCs/>
          <w:color w:val="000000"/>
          <w:sz w:val="12"/>
          <w:szCs w:val="12"/>
        </w:rPr>
        <w:t>jetés</w:t>
      </w:r>
      <w:r w:rsidR="00CF6CA3">
        <w:rPr>
          <w:bCs/>
          <w:color w:val="000000"/>
          <w:sz w:val="12"/>
          <w:szCs w:val="12"/>
        </w:rPr>
        <w:t>, le Fournisseur assumant les risques</w:t>
      </w:r>
      <w:r w:rsidR="00B55ADC" w:rsidRPr="00D66FF7">
        <w:rPr>
          <w:bCs/>
          <w:color w:val="000000"/>
          <w:sz w:val="12"/>
          <w:szCs w:val="12"/>
        </w:rPr>
        <w:t xml:space="preserve">; b) </w:t>
      </w:r>
      <w:r w:rsidR="009C754E">
        <w:rPr>
          <w:bCs/>
          <w:color w:val="000000"/>
          <w:sz w:val="12"/>
          <w:szCs w:val="12"/>
        </w:rPr>
        <w:t xml:space="preserve">de </w:t>
      </w:r>
      <w:r w:rsidR="00B55ADC" w:rsidRPr="00D66FF7">
        <w:rPr>
          <w:bCs/>
          <w:color w:val="000000"/>
          <w:sz w:val="12"/>
          <w:szCs w:val="12"/>
        </w:rPr>
        <w:t xml:space="preserve">retourner les </w:t>
      </w:r>
      <w:r w:rsidR="00CE4FA4">
        <w:rPr>
          <w:bCs/>
          <w:color w:val="000000"/>
          <w:sz w:val="12"/>
          <w:szCs w:val="12"/>
        </w:rPr>
        <w:t>Biens</w:t>
      </w:r>
      <w:r w:rsidR="009C754E">
        <w:rPr>
          <w:bCs/>
          <w:color w:val="000000"/>
          <w:sz w:val="12"/>
          <w:szCs w:val="12"/>
        </w:rPr>
        <w:t xml:space="preserve"> rejetés</w:t>
      </w:r>
      <w:r w:rsidR="00B55ADC" w:rsidRPr="00D66FF7">
        <w:rPr>
          <w:bCs/>
          <w:color w:val="000000"/>
          <w:sz w:val="12"/>
          <w:szCs w:val="12"/>
        </w:rPr>
        <w:t xml:space="preserve"> aux frais du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; ou c) </w:t>
      </w:r>
      <w:r w:rsidR="009C754E">
        <w:rPr>
          <w:bCs/>
          <w:color w:val="000000"/>
          <w:sz w:val="12"/>
          <w:szCs w:val="12"/>
        </w:rPr>
        <w:t>d’</w:t>
      </w:r>
      <w:r w:rsidR="00B55ADC" w:rsidRPr="00D66FF7">
        <w:rPr>
          <w:bCs/>
          <w:color w:val="000000"/>
          <w:sz w:val="12"/>
          <w:szCs w:val="12"/>
        </w:rPr>
        <w:t xml:space="preserve">exiger du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 xml:space="preserve">, </w:t>
      </w:r>
      <w:r w:rsidR="000C1762">
        <w:rPr>
          <w:bCs/>
          <w:color w:val="000000"/>
          <w:sz w:val="12"/>
          <w:szCs w:val="12"/>
        </w:rPr>
        <w:t xml:space="preserve">aux </w:t>
      </w:r>
      <w:r w:rsidR="00B55ADC" w:rsidRPr="00D66FF7">
        <w:rPr>
          <w:bCs/>
          <w:color w:val="000000"/>
          <w:sz w:val="12"/>
          <w:szCs w:val="12"/>
        </w:rPr>
        <w:t>frais</w:t>
      </w:r>
      <w:r w:rsidR="000C1762">
        <w:rPr>
          <w:bCs/>
          <w:color w:val="000000"/>
          <w:sz w:val="12"/>
          <w:szCs w:val="12"/>
        </w:rPr>
        <w:t xml:space="preserve"> du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D66FF7">
        <w:rPr>
          <w:bCs/>
          <w:color w:val="000000"/>
          <w:sz w:val="12"/>
          <w:szCs w:val="12"/>
        </w:rPr>
        <w:t>, qu’il corrige les dé</w:t>
      </w:r>
      <w:r w:rsidR="000C1762">
        <w:rPr>
          <w:bCs/>
          <w:color w:val="000000"/>
          <w:sz w:val="12"/>
          <w:szCs w:val="12"/>
        </w:rPr>
        <w:t>f</w:t>
      </w:r>
      <w:r w:rsidR="002947E9">
        <w:rPr>
          <w:bCs/>
          <w:color w:val="000000"/>
          <w:sz w:val="12"/>
          <w:szCs w:val="12"/>
        </w:rPr>
        <w:t>aillances</w:t>
      </w:r>
      <w:r w:rsidR="000C1762">
        <w:rPr>
          <w:bCs/>
          <w:color w:val="000000"/>
          <w:sz w:val="12"/>
          <w:szCs w:val="12"/>
        </w:rPr>
        <w:t xml:space="preserve"> et lacunes</w:t>
      </w:r>
      <w:r w:rsidR="00B55ADC" w:rsidRPr="00D66FF7">
        <w:rPr>
          <w:bCs/>
          <w:color w:val="000000"/>
          <w:sz w:val="12"/>
          <w:szCs w:val="12"/>
        </w:rPr>
        <w:t xml:space="preserve"> ou qu’il re</w:t>
      </w:r>
      <w:r w:rsidR="00BA6CE5">
        <w:rPr>
          <w:bCs/>
          <w:color w:val="000000"/>
          <w:sz w:val="12"/>
          <w:szCs w:val="12"/>
        </w:rPr>
        <w:t>m</w:t>
      </w:r>
      <w:r w:rsidR="00B55ADC" w:rsidRPr="00D66FF7">
        <w:rPr>
          <w:bCs/>
          <w:color w:val="000000"/>
          <w:sz w:val="12"/>
          <w:szCs w:val="12"/>
        </w:rPr>
        <w:t xml:space="preserve">place les </w:t>
      </w:r>
      <w:r w:rsidR="00CE4FA4">
        <w:rPr>
          <w:bCs/>
          <w:color w:val="000000"/>
          <w:sz w:val="12"/>
          <w:szCs w:val="12"/>
        </w:rPr>
        <w:t>Biens</w:t>
      </w:r>
      <w:r w:rsidR="00B55ADC" w:rsidRPr="00D66FF7">
        <w:rPr>
          <w:bCs/>
          <w:color w:val="000000"/>
          <w:sz w:val="12"/>
          <w:szCs w:val="12"/>
        </w:rPr>
        <w:t xml:space="preserve"> re</w:t>
      </w:r>
      <w:r w:rsidR="00FB2A28">
        <w:rPr>
          <w:bCs/>
          <w:color w:val="000000"/>
          <w:sz w:val="12"/>
          <w:szCs w:val="12"/>
        </w:rPr>
        <w:t>jetés</w:t>
      </w:r>
      <w:r w:rsidR="00B55ADC" w:rsidRPr="00D66FF7">
        <w:rPr>
          <w:bCs/>
          <w:color w:val="000000"/>
          <w:sz w:val="12"/>
          <w:szCs w:val="12"/>
        </w:rPr>
        <w:t xml:space="preserve"> à un endroit indiqué par Interfor.</w:t>
      </w:r>
    </w:p>
    <w:p w14:paraId="5A702B52" w14:textId="0332916B" w:rsidR="00B55ADC" w:rsidRPr="00B55ADC" w:rsidRDefault="00D66FF7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ANNULATION</w:t>
      </w:r>
      <w:r w:rsidRPr="007E0039">
        <w:rPr>
          <w:bCs/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 xml:space="preserve">Interfor peut, par avis écrit, à tout moment sans motif et pour quelque raison, annuler le présent </w:t>
      </w:r>
      <w:r w:rsidR="00566233">
        <w:rPr>
          <w:color w:val="000000"/>
          <w:sz w:val="12"/>
          <w:szCs w:val="12"/>
        </w:rPr>
        <w:t>bon de commande</w:t>
      </w:r>
      <w:r w:rsidR="00B55ADC" w:rsidRPr="00B55ADC">
        <w:rPr>
          <w:color w:val="000000"/>
          <w:sz w:val="12"/>
          <w:szCs w:val="12"/>
        </w:rPr>
        <w:t xml:space="preserve"> 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égard des </w:t>
      </w:r>
      <w:r w:rsidR="00CE4FA4">
        <w:rPr>
          <w:color w:val="000000"/>
          <w:sz w:val="12"/>
          <w:szCs w:val="12"/>
        </w:rPr>
        <w:t>Biens</w:t>
      </w:r>
      <w:r w:rsidR="00B55ADC" w:rsidRPr="00B55ADC">
        <w:rPr>
          <w:color w:val="000000"/>
          <w:sz w:val="12"/>
          <w:szCs w:val="12"/>
        </w:rPr>
        <w:t>, en totalité ou en partie, qui, à la date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annulation, n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ont pas été expédiés. Dans un tel cas, Interfor paiera tous les frais raisonnables que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a engagé ou s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est engagé irrévocablement à engager 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égard des </w:t>
      </w:r>
      <w:r w:rsidR="00CE4FA4">
        <w:rPr>
          <w:color w:val="000000"/>
          <w:sz w:val="12"/>
          <w:szCs w:val="12"/>
        </w:rPr>
        <w:t>Biens</w:t>
      </w:r>
      <w:r w:rsidR="00B55ADC" w:rsidRPr="00B55ADC">
        <w:rPr>
          <w:color w:val="000000"/>
          <w:sz w:val="12"/>
          <w:szCs w:val="12"/>
        </w:rPr>
        <w:t xml:space="preserve"> qui sont annulés. Ce paiement ne dépassera en aucun cas le prix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achat total des </w:t>
      </w:r>
      <w:r w:rsidR="00CE4FA4">
        <w:rPr>
          <w:color w:val="000000"/>
          <w:sz w:val="12"/>
          <w:szCs w:val="12"/>
        </w:rPr>
        <w:t>Biens</w:t>
      </w:r>
      <w:r w:rsidR="00B55ADC" w:rsidRPr="00B55ADC">
        <w:rPr>
          <w:color w:val="000000"/>
          <w:sz w:val="12"/>
          <w:szCs w:val="12"/>
        </w:rPr>
        <w:t xml:space="preserve"> annulés</w:t>
      </w:r>
      <w:r w:rsidR="001D2D4F">
        <w:rPr>
          <w:color w:val="000000"/>
          <w:sz w:val="12"/>
          <w:szCs w:val="12"/>
        </w:rPr>
        <w:t xml:space="preserve">, déduction faite de tout remboursement ou récupération dont bénéficie le Fournisseur ainsi que tout montant global, le cas échéant, </w:t>
      </w:r>
      <w:proofErr w:type="gramStart"/>
      <w:r w:rsidR="001D2D4F">
        <w:rPr>
          <w:color w:val="000000"/>
          <w:sz w:val="12"/>
          <w:szCs w:val="12"/>
        </w:rPr>
        <w:t>payé</w:t>
      </w:r>
      <w:proofErr w:type="gramEnd"/>
      <w:r w:rsidR="001D2D4F">
        <w:rPr>
          <w:color w:val="000000"/>
          <w:sz w:val="12"/>
          <w:szCs w:val="12"/>
        </w:rPr>
        <w:t xml:space="preserve"> antérieurement par Interfor pour les Biens annulés. </w:t>
      </w:r>
    </w:p>
    <w:p w14:paraId="1893A645" w14:textId="48AA056F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pacing w:val="-1"/>
          <w:sz w:val="12"/>
          <w:szCs w:val="12"/>
        </w:rPr>
        <w:t>MODIFICATIONS</w:t>
      </w:r>
      <w:r w:rsidRPr="00B55ADC">
        <w:rPr>
          <w:color w:val="000000"/>
          <w:spacing w:val="-1"/>
          <w:sz w:val="12"/>
          <w:szCs w:val="12"/>
        </w:rPr>
        <w:t>. Interfor se réserve le droit d</w:t>
      </w:r>
      <w:r>
        <w:rPr>
          <w:color w:val="000000"/>
          <w:spacing w:val="-1"/>
          <w:sz w:val="12"/>
          <w:szCs w:val="12"/>
        </w:rPr>
        <w:t>’</w:t>
      </w:r>
      <w:r w:rsidRPr="00B55ADC">
        <w:rPr>
          <w:color w:val="000000"/>
          <w:spacing w:val="-1"/>
          <w:sz w:val="12"/>
          <w:szCs w:val="12"/>
        </w:rPr>
        <w:t>apporter des modifications, au moyen d</w:t>
      </w:r>
      <w:r>
        <w:rPr>
          <w:color w:val="000000"/>
          <w:spacing w:val="-1"/>
          <w:sz w:val="12"/>
          <w:szCs w:val="12"/>
        </w:rPr>
        <w:t>’</w:t>
      </w:r>
      <w:r w:rsidRPr="00B55ADC">
        <w:rPr>
          <w:color w:val="000000"/>
          <w:spacing w:val="-1"/>
          <w:sz w:val="12"/>
          <w:szCs w:val="12"/>
        </w:rPr>
        <w:t xml:space="preserve">un ordre de changement écrit, aux dessins, </w:t>
      </w:r>
      <w:r w:rsidR="00312C76">
        <w:rPr>
          <w:color w:val="000000"/>
          <w:spacing w:val="-1"/>
          <w:sz w:val="12"/>
          <w:szCs w:val="12"/>
        </w:rPr>
        <w:t xml:space="preserve">aux plans, </w:t>
      </w:r>
      <w:r w:rsidRPr="00B55ADC">
        <w:rPr>
          <w:color w:val="000000"/>
          <w:spacing w:val="-1"/>
          <w:sz w:val="12"/>
          <w:szCs w:val="12"/>
        </w:rPr>
        <w:t xml:space="preserve">aux </w:t>
      </w:r>
      <w:r w:rsidR="003D50C9">
        <w:rPr>
          <w:color w:val="000000"/>
          <w:spacing w:val="-1"/>
          <w:sz w:val="12"/>
          <w:szCs w:val="12"/>
        </w:rPr>
        <w:t>conceptions</w:t>
      </w:r>
      <w:r w:rsidRPr="00B55ADC">
        <w:rPr>
          <w:color w:val="000000"/>
          <w:spacing w:val="-1"/>
          <w:sz w:val="12"/>
          <w:szCs w:val="12"/>
        </w:rPr>
        <w:t>, aux spécifications, à l</w:t>
      </w:r>
      <w:r>
        <w:rPr>
          <w:color w:val="000000"/>
          <w:spacing w:val="-1"/>
          <w:sz w:val="12"/>
          <w:szCs w:val="12"/>
        </w:rPr>
        <w:t>’</w:t>
      </w:r>
      <w:r w:rsidRPr="00B55ADC">
        <w:rPr>
          <w:color w:val="000000"/>
          <w:spacing w:val="-1"/>
          <w:sz w:val="12"/>
          <w:szCs w:val="12"/>
        </w:rPr>
        <w:t xml:space="preserve">étendue des travaux, à la quantité de </w:t>
      </w:r>
      <w:r w:rsidR="00CE4FA4">
        <w:rPr>
          <w:color w:val="000000"/>
          <w:spacing w:val="-1"/>
          <w:sz w:val="12"/>
          <w:szCs w:val="12"/>
        </w:rPr>
        <w:t>Biens</w:t>
      </w:r>
      <w:r w:rsidRPr="00B55ADC">
        <w:rPr>
          <w:color w:val="000000"/>
          <w:spacing w:val="-1"/>
          <w:sz w:val="12"/>
          <w:szCs w:val="12"/>
        </w:rPr>
        <w:t xml:space="preserve"> et au délai de livraison.</w:t>
      </w:r>
    </w:p>
    <w:p w14:paraId="086B9C29" w14:textId="573F65AE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GARANTIES</w:t>
      </w:r>
      <w:r w:rsidR="00D66FF7" w:rsidRPr="003D50C9">
        <w:rPr>
          <w:bCs/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garantit et déclare que les </w:t>
      </w:r>
      <w:r w:rsidR="00CE4FA4">
        <w:rPr>
          <w:color w:val="000000"/>
          <w:sz w:val="12"/>
          <w:szCs w:val="12"/>
        </w:rPr>
        <w:t xml:space="preserve">Biens/Services </w:t>
      </w:r>
      <w:r>
        <w:rPr>
          <w:color w:val="000000"/>
          <w:sz w:val="12"/>
          <w:szCs w:val="12"/>
        </w:rPr>
        <w:t>:</w:t>
      </w:r>
      <w:r w:rsidRPr="00B55ADC">
        <w:rPr>
          <w:color w:val="000000"/>
          <w:sz w:val="12"/>
          <w:szCs w:val="12"/>
        </w:rPr>
        <w:t xml:space="preserve"> a) s</w:t>
      </w:r>
      <w:r w:rsidR="005D5AF6">
        <w:rPr>
          <w:color w:val="000000"/>
          <w:sz w:val="12"/>
          <w:szCs w:val="12"/>
        </w:rPr>
        <w:t>ont</w:t>
      </w:r>
      <w:r w:rsidRPr="00B55ADC">
        <w:rPr>
          <w:color w:val="000000"/>
          <w:sz w:val="12"/>
          <w:szCs w:val="12"/>
        </w:rPr>
        <w:t xml:space="preserve"> conforme</w:t>
      </w:r>
      <w:r w:rsidR="005D5AF6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à </w:t>
      </w:r>
      <w:r w:rsidR="005D5AF6">
        <w:rPr>
          <w:color w:val="000000"/>
          <w:sz w:val="12"/>
          <w:szCs w:val="12"/>
        </w:rPr>
        <w:t>l’ensemble d</w:t>
      </w:r>
      <w:r w:rsidRPr="00B55ADC">
        <w:rPr>
          <w:color w:val="000000"/>
          <w:sz w:val="12"/>
          <w:szCs w:val="12"/>
        </w:rPr>
        <w:t>es lois, règlements, normes, codes et autres exigences applicables d</w:t>
      </w:r>
      <w:r>
        <w:rPr>
          <w:color w:val="000000"/>
          <w:sz w:val="12"/>
          <w:szCs w:val="12"/>
        </w:rPr>
        <w:t>’</w:t>
      </w:r>
      <w:r w:rsidR="00E73E2A">
        <w:rPr>
          <w:color w:val="000000"/>
          <w:sz w:val="12"/>
          <w:szCs w:val="12"/>
        </w:rPr>
        <w:t>une A</w:t>
      </w:r>
      <w:r w:rsidRPr="00B55ADC">
        <w:rPr>
          <w:color w:val="000000"/>
          <w:sz w:val="12"/>
          <w:szCs w:val="12"/>
        </w:rPr>
        <w:t xml:space="preserve">utorité gouvernementale, et aux normes et codes habituellement applicables aux endroits où Interfor recevra ou utilisera les </w:t>
      </w:r>
      <w:r w:rsidR="00CE4FA4">
        <w:rPr>
          <w:color w:val="000000"/>
          <w:sz w:val="12"/>
          <w:szCs w:val="12"/>
        </w:rPr>
        <w:t>Biens</w:t>
      </w:r>
      <w:r w:rsidR="004D71E3">
        <w:rPr>
          <w:color w:val="000000"/>
          <w:sz w:val="12"/>
          <w:szCs w:val="12"/>
        </w:rPr>
        <w:t>/</w:t>
      </w:r>
      <w:r w:rsidR="00CE4FA4">
        <w:rPr>
          <w:color w:val="000000"/>
          <w:sz w:val="12"/>
          <w:szCs w:val="12"/>
        </w:rPr>
        <w:t>Services</w:t>
      </w:r>
      <w:r w:rsidRPr="00B55ADC">
        <w:rPr>
          <w:color w:val="000000"/>
          <w:sz w:val="12"/>
          <w:szCs w:val="12"/>
        </w:rPr>
        <w:t>; b) s</w:t>
      </w:r>
      <w:r w:rsidR="007444C3">
        <w:rPr>
          <w:color w:val="000000"/>
          <w:sz w:val="12"/>
          <w:szCs w:val="12"/>
        </w:rPr>
        <w:t>ont</w:t>
      </w:r>
      <w:r w:rsidRPr="00B55ADC">
        <w:rPr>
          <w:color w:val="000000"/>
          <w:sz w:val="12"/>
          <w:szCs w:val="12"/>
        </w:rPr>
        <w:t xml:space="preserve"> conforme</w:t>
      </w:r>
      <w:r w:rsidR="007444C3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à tous égards aux modalités </w:t>
      </w:r>
      <w:r w:rsidR="007444C3">
        <w:rPr>
          <w:color w:val="000000"/>
          <w:sz w:val="12"/>
          <w:szCs w:val="12"/>
        </w:rPr>
        <w:t xml:space="preserve">et conditions </w:t>
      </w:r>
      <w:r w:rsidRPr="00B55ADC">
        <w:rPr>
          <w:color w:val="000000"/>
          <w:sz w:val="12"/>
          <w:szCs w:val="12"/>
        </w:rPr>
        <w:t xml:space="preserve">de la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 et à tous les échantillons, devis, </w:t>
      </w:r>
      <w:r w:rsidR="007444C3">
        <w:rPr>
          <w:color w:val="000000"/>
          <w:sz w:val="12"/>
          <w:szCs w:val="12"/>
        </w:rPr>
        <w:t xml:space="preserve">spécifications, </w:t>
      </w:r>
      <w:r w:rsidRPr="00B55ADC">
        <w:rPr>
          <w:color w:val="000000"/>
          <w:sz w:val="12"/>
          <w:szCs w:val="12"/>
        </w:rPr>
        <w:t xml:space="preserve">dessins ou autres descriptions applicables fournis à Interfor; c) </w:t>
      </w:r>
      <w:r w:rsidR="00594EDD">
        <w:rPr>
          <w:color w:val="000000"/>
          <w:sz w:val="12"/>
          <w:szCs w:val="12"/>
        </w:rPr>
        <w:t>sont</w:t>
      </w:r>
      <w:r w:rsidRPr="00B55ADC">
        <w:rPr>
          <w:color w:val="000000"/>
          <w:sz w:val="12"/>
          <w:szCs w:val="12"/>
        </w:rPr>
        <w:t xml:space="preserve"> en bon état, a</w:t>
      </w:r>
      <w:r w:rsidR="00A9359D">
        <w:rPr>
          <w:color w:val="000000"/>
          <w:sz w:val="12"/>
          <w:szCs w:val="12"/>
        </w:rPr>
        <w:t>déquats</w:t>
      </w:r>
      <w:r w:rsidR="00AC6446">
        <w:rPr>
          <w:color w:val="000000"/>
          <w:sz w:val="12"/>
          <w:szCs w:val="12"/>
        </w:rPr>
        <w:t>, convenables</w:t>
      </w:r>
      <w:r w:rsidRPr="00B55ADC">
        <w:rPr>
          <w:color w:val="000000"/>
          <w:sz w:val="12"/>
          <w:szCs w:val="12"/>
        </w:rPr>
        <w:t xml:space="preserve"> et </w:t>
      </w:r>
      <w:r w:rsidR="00E35FDE">
        <w:rPr>
          <w:color w:val="000000"/>
          <w:sz w:val="12"/>
          <w:szCs w:val="12"/>
        </w:rPr>
        <w:t>fonctionnent</w:t>
      </w:r>
      <w:r w:rsidR="00C5319B">
        <w:rPr>
          <w:color w:val="000000"/>
          <w:sz w:val="12"/>
          <w:szCs w:val="12"/>
        </w:rPr>
        <w:t xml:space="preserve"> et sont mis à exécution</w:t>
      </w:r>
      <w:r w:rsidRPr="00B55ADC">
        <w:rPr>
          <w:color w:val="000000"/>
          <w:sz w:val="12"/>
          <w:szCs w:val="12"/>
        </w:rPr>
        <w:t xml:space="preserve"> de façon satisfaisante aux fins et dans les conditions </w:t>
      </w:r>
      <w:r w:rsidR="00373327">
        <w:rPr>
          <w:color w:val="000000"/>
          <w:sz w:val="12"/>
          <w:szCs w:val="12"/>
        </w:rPr>
        <w:t xml:space="preserve">qui peuvent </w:t>
      </w:r>
      <w:r w:rsidRPr="00B55ADC">
        <w:rPr>
          <w:color w:val="000000"/>
          <w:sz w:val="12"/>
          <w:szCs w:val="12"/>
        </w:rPr>
        <w:t xml:space="preserve">raisonnablement </w:t>
      </w:r>
      <w:r w:rsidR="00373327">
        <w:rPr>
          <w:color w:val="000000"/>
          <w:sz w:val="12"/>
          <w:szCs w:val="12"/>
        </w:rPr>
        <w:t xml:space="preserve">être </w:t>
      </w:r>
      <w:r w:rsidRPr="00B55ADC">
        <w:rPr>
          <w:color w:val="000000"/>
          <w:sz w:val="12"/>
          <w:szCs w:val="12"/>
        </w:rPr>
        <w:t>infér</w:t>
      </w:r>
      <w:r w:rsidR="00373327">
        <w:rPr>
          <w:color w:val="000000"/>
          <w:sz w:val="12"/>
          <w:szCs w:val="12"/>
        </w:rPr>
        <w:t>ées</w:t>
      </w:r>
      <w:r w:rsidRPr="00B55ADC">
        <w:rPr>
          <w:color w:val="000000"/>
          <w:sz w:val="12"/>
          <w:szCs w:val="12"/>
        </w:rPr>
        <w:t>, ou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Interfor a communiquées au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; et d) ne </w:t>
      </w:r>
      <w:r w:rsidR="00247B95">
        <w:rPr>
          <w:color w:val="000000"/>
          <w:sz w:val="12"/>
          <w:szCs w:val="12"/>
        </w:rPr>
        <w:t>contrefont pas</w:t>
      </w:r>
      <w:r w:rsidRPr="00B55ADC">
        <w:rPr>
          <w:color w:val="000000"/>
          <w:sz w:val="12"/>
          <w:szCs w:val="12"/>
        </w:rPr>
        <w:t xml:space="preserve"> ni ne violent la propriété intellectuelle ou </w:t>
      </w:r>
      <w:r w:rsidR="0052376A">
        <w:rPr>
          <w:color w:val="000000"/>
          <w:sz w:val="12"/>
          <w:szCs w:val="12"/>
        </w:rPr>
        <w:t>d’</w:t>
      </w:r>
      <w:r w:rsidRPr="00B55ADC">
        <w:rPr>
          <w:color w:val="000000"/>
          <w:sz w:val="12"/>
          <w:szCs w:val="12"/>
        </w:rPr>
        <w:t xml:space="preserve">autres droits de quiconque.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garantit et déclare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il a un titre valable </w:t>
      </w:r>
      <w:r w:rsidR="001020B3">
        <w:rPr>
          <w:color w:val="000000"/>
          <w:sz w:val="12"/>
          <w:szCs w:val="12"/>
        </w:rPr>
        <w:t>à l’égard de</w:t>
      </w:r>
      <w:r w:rsidRPr="00B55ADC">
        <w:rPr>
          <w:color w:val="000000"/>
          <w:sz w:val="12"/>
          <w:szCs w:val="12"/>
        </w:rPr>
        <w:t xml:space="preserve"> tous les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vendus à Interfor aux termes de la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 et que les </w:t>
      </w:r>
      <w:r w:rsidR="00CE4FA4">
        <w:rPr>
          <w:color w:val="000000"/>
          <w:sz w:val="12"/>
          <w:szCs w:val="12"/>
        </w:rPr>
        <w:t>Biens</w:t>
      </w:r>
      <w:r>
        <w:rPr>
          <w:color w:val="000000"/>
          <w:sz w:val="12"/>
          <w:szCs w:val="12"/>
        </w:rPr>
        <w:t> :</w:t>
      </w:r>
      <w:r w:rsidRPr="00B55ADC">
        <w:rPr>
          <w:color w:val="000000"/>
          <w:sz w:val="12"/>
          <w:szCs w:val="12"/>
        </w:rPr>
        <w:t xml:space="preserve"> i) </w:t>
      </w:r>
      <w:r w:rsidR="00520D48">
        <w:rPr>
          <w:color w:val="000000"/>
          <w:sz w:val="12"/>
          <w:szCs w:val="12"/>
        </w:rPr>
        <w:t>sont</w:t>
      </w:r>
      <w:r w:rsidRPr="00B55ADC">
        <w:rPr>
          <w:color w:val="000000"/>
          <w:sz w:val="12"/>
          <w:szCs w:val="12"/>
        </w:rPr>
        <w:t xml:space="preserve"> libre</w:t>
      </w:r>
      <w:r w:rsidR="00520D48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et quitte</w:t>
      </w:r>
      <w:r w:rsidR="00520D48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de </w:t>
      </w:r>
      <w:r w:rsidR="003A4920">
        <w:rPr>
          <w:color w:val="000000"/>
          <w:sz w:val="12"/>
          <w:szCs w:val="12"/>
        </w:rPr>
        <w:t xml:space="preserve">tous </w:t>
      </w:r>
      <w:r w:rsidRPr="00B55ADC">
        <w:rPr>
          <w:color w:val="000000"/>
          <w:sz w:val="12"/>
          <w:szCs w:val="12"/>
        </w:rPr>
        <w:t>privilèges</w:t>
      </w:r>
      <w:r w:rsidR="00E73E2A">
        <w:rPr>
          <w:color w:val="000000"/>
          <w:sz w:val="12"/>
          <w:szCs w:val="12"/>
        </w:rPr>
        <w:t>, priorités, hypothèques</w:t>
      </w:r>
      <w:r w:rsidR="003A4920">
        <w:rPr>
          <w:color w:val="000000"/>
          <w:sz w:val="12"/>
          <w:szCs w:val="12"/>
        </w:rPr>
        <w:t>, droits de rétention</w:t>
      </w:r>
      <w:r w:rsidRPr="00B55ADC">
        <w:rPr>
          <w:color w:val="000000"/>
          <w:sz w:val="12"/>
          <w:szCs w:val="12"/>
        </w:rPr>
        <w:t xml:space="preserve"> ou </w:t>
      </w:r>
      <w:r w:rsidR="003A4920">
        <w:rPr>
          <w:color w:val="000000"/>
          <w:sz w:val="12"/>
          <w:szCs w:val="12"/>
        </w:rPr>
        <w:t xml:space="preserve">autres </w:t>
      </w:r>
      <w:r w:rsidRPr="00B55ADC">
        <w:rPr>
          <w:color w:val="000000"/>
          <w:sz w:val="12"/>
          <w:szCs w:val="12"/>
        </w:rPr>
        <w:t>charges; ii) s</w:t>
      </w:r>
      <w:r w:rsidR="00F0151F">
        <w:rPr>
          <w:color w:val="000000"/>
          <w:sz w:val="12"/>
          <w:szCs w:val="12"/>
        </w:rPr>
        <w:t>ont</w:t>
      </w:r>
      <w:r w:rsidRPr="00B55ADC">
        <w:rPr>
          <w:color w:val="000000"/>
          <w:sz w:val="12"/>
          <w:szCs w:val="12"/>
        </w:rPr>
        <w:t xml:space="preserve"> conforme</w:t>
      </w:r>
      <w:r w:rsidR="00F0151F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à toutes le</w:t>
      </w:r>
      <w:r w:rsidR="001F41FD">
        <w:rPr>
          <w:color w:val="000000"/>
          <w:sz w:val="12"/>
          <w:szCs w:val="12"/>
        </w:rPr>
        <w:t>ur</w:t>
      </w:r>
      <w:r w:rsidRPr="00B55ADC">
        <w:rPr>
          <w:color w:val="000000"/>
          <w:sz w:val="12"/>
          <w:szCs w:val="12"/>
        </w:rPr>
        <w:t xml:space="preserve">s spécifications dans le </w:t>
      </w:r>
      <w:r w:rsidR="00566233">
        <w:rPr>
          <w:color w:val="000000"/>
          <w:sz w:val="12"/>
          <w:szCs w:val="12"/>
        </w:rPr>
        <w:t>bon de commande</w:t>
      </w:r>
      <w:r w:rsidRPr="00B55ADC">
        <w:rPr>
          <w:color w:val="000000"/>
          <w:sz w:val="12"/>
          <w:szCs w:val="12"/>
        </w:rPr>
        <w:t xml:space="preserve">; </w:t>
      </w:r>
      <w:r w:rsidR="00501F0D">
        <w:rPr>
          <w:color w:val="000000"/>
          <w:sz w:val="12"/>
          <w:szCs w:val="12"/>
        </w:rPr>
        <w:t>i</w:t>
      </w:r>
      <w:r w:rsidRPr="00B55ADC">
        <w:rPr>
          <w:color w:val="000000"/>
          <w:sz w:val="12"/>
          <w:szCs w:val="12"/>
        </w:rPr>
        <w:t xml:space="preserve">ii) </w:t>
      </w:r>
      <w:r w:rsidR="00520D48">
        <w:rPr>
          <w:color w:val="000000"/>
          <w:sz w:val="12"/>
          <w:szCs w:val="12"/>
        </w:rPr>
        <w:t>sont</w:t>
      </w:r>
      <w:r w:rsidRPr="00B55ADC">
        <w:rPr>
          <w:color w:val="000000"/>
          <w:sz w:val="12"/>
          <w:szCs w:val="12"/>
        </w:rPr>
        <w:t xml:space="preserve"> exempts de tout vice de conception, de matériaux ou de fabrication; et iv) </w:t>
      </w:r>
      <w:r w:rsidR="00520D48">
        <w:rPr>
          <w:color w:val="000000"/>
          <w:sz w:val="12"/>
          <w:szCs w:val="12"/>
        </w:rPr>
        <w:t>sont</w:t>
      </w:r>
      <w:r w:rsidRPr="00B55ADC">
        <w:rPr>
          <w:color w:val="000000"/>
          <w:sz w:val="12"/>
          <w:szCs w:val="12"/>
        </w:rPr>
        <w:t xml:space="preserve"> de qualité marchande. Les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seront de la meilleure qualité, si aucune qualité n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est </w:t>
      </w:r>
      <w:r w:rsidR="00335400">
        <w:rPr>
          <w:color w:val="000000"/>
          <w:sz w:val="12"/>
          <w:szCs w:val="12"/>
        </w:rPr>
        <w:t>précis</w:t>
      </w:r>
      <w:r w:rsidRPr="00B55ADC">
        <w:rPr>
          <w:color w:val="000000"/>
          <w:sz w:val="12"/>
          <w:szCs w:val="12"/>
        </w:rPr>
        <w:t>ée. La présente garantie générale est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une durée de </w:t>
      </w:r>
      <w:r w:rsidR="00BE5B7F">
        <w:rPr>
          <w:color w:val="000000"/>
          <w:sz w:val="12"/>
          <w:szCs w:val="12"/>
        </w:rPr>
        <w:t>douze (</w:t>
      </w:r>
      <w:r w:rsidRPr="00B55ADC">
        <w:rPr>
          <w:color w:val="000000"/>
          <w:sz w:val="12"/>
          <w:szCs w:val="12"/>
        </w:rPr>
        <w:t>12</w:t>
      </w:r>
      <w:r w:rsidR="00BE5B7F">
        <w:rPr>
          <w:color w:val="000000"/>
          <w:sz w:val="12"/>
          <w:szCs w:val="12"/>
        </w:rPr>
        <w:t>)</w:t>
      </w:r>
      <w:r w:rsidRPr="00B55ADC">
        <w:rPr>
          <w:color w:val="000000"/>
          <w:sz w:val="12"/>
          <w:szCs w:val="12"/>
        </w:rPr>
        <w:t xml:space="preserve"> mois à </w:t>
      </w:r>
      <w:r w:rsidR="00335400">
        <w:rPr>
          <w:color w:val="000000"/>
          <w:sz w:val="12"/>
          <w:szCs w:val="12"/>
        </w:rPr>
        <w:t>parti</w:t>
      </w:r>
      <w:r w:rsidRPr="00B55ADC">
        <w:rPr>
          <w:color w:val="000000"/>
          <w:sz w:val="12"/>
          <w:szCs w:val="12"/>
        </w:rPr>
        <w:t xml:space="preserve">r de la date de mise en service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et est indépendante </w:t>
      </w:r>
      <w:r w:rsidR="00CA026F">
        <w:rPr>
          <w:color w:val="000000"/>
          <w:sz w:val="12"/>
          <w:szCs w:val="12"/>
        </w:rPr>
        <w:t xml:space="preserve">et sans préjudice </w:t>
      </w:r>
      <w:r w:rsidRPr="00B55ADC">
        <w:rPr>
          <w:color w:val="000000"/>
          <w:sz w:val="12"/>
          <w:szCs w:val="12"/>
        </w:rPr>
        <w:t xml:space="preserve">de toute garantie spécifique ou garantie de service offerte par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dans le cadre de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objet pour lequel les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ont été achetés. Si, à tout moment avant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expiration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une période de garantie applicable, une faiblesse, une insuffisance, </w:t>
      </w:r>
      <w:r w:rsidR="00162E45">
        <w:rPr>
          <w:color w:val="000000"/>
          <w:sz w:val="12"/>
          <w:szCs w:val="12"/>
        </w:rPr>
        <w:t>une lacune</w:t>
      </w:r>
      <w:r w:rsidR="006E36E7">
        <w:rPr>
          <w:color w:val="000000"/>
          <w:sz w:val="12"/>
          <w:szCs w:val="12"/>
        </w:rPr>
        <w:t xml:space="preserve">, </w:t>
      </w:r>
      <w:r w:rsidRPr="00B55ADC">
        <w:rPr>
          <w:color w:val="000000"/>
          <w:sz w:val="12"/>
          <w:szCs w:val="12"/>
        </w:rPr>
        <w:t xml:space="preserve">une défaillance, </w:t>
      </w:r>
      <w:r w:rsidR="00A05385">
        <w:rPr>
          <w:color w:val="000000"/>
          <w:sz w:val="12"/>
          <w:szCs w:val="12"/>
        </w:rPr>
        <w:t xml:space="preserve">un défaut, </w:t>
      </w:r>
      <w:r w:rsidRPr="00B55ADC">
        <w:rPr>
          <w:color w:val="000000"/>
          <w:sz w:val="12"/>
          <w:szCs w:val="12"/>
        </w:rPr>
        <w:t xml:space="preserve">une panne ou une détérioration de la fabrication ou des matériaux </w:t>
      </w:r>
      <w:r w:rsidR="00B81B84">
        <w:rPr>
          <w:color w:val="000000"/>
          <w:sz w:val="12"/>
          <w:szCs w:val="12"/>
        </w:rPr>
        <w:t>semble être découvert</w:t>
      </w:r>
      <w:r w:rsidR="00BE5B7F">
        <w:rPr>
          <w:color w:val="000000"/>
          <w:sz w:val="12"/>
          <w:szCs w:val="12"/>
        </w:rPr>
        <w:t>e</w:t>
      </w:r>
      <w:r w:rsidRPr="00B55ADC">
        <w:rPr>
          <w:color w:val="000000"/>
          <w:sz w:val="12"/>
          <w:szCs w:val="12"/>
        </w:rPr>
        <w:t xml:space="preserve"> dans les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, ou si les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ne sont pas conformes à la présente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>, Interfor peut, à son gré</w:t>
      </w:r>
      <w:r>
        <w:rPr>
          <w:color w:val="000000"/>
          <w:sz w:val="12"/>
          <w:szCs w:val="12"/>
        </w:rPr>
        <w:t> :</w:t>
      </w:r>
      <w:r w:rsidRPr="00B55ADC">
        <w:rPr>
          <w:color w:val="000000"/>
          <w:sz w:val="12"/>
          <w:szCs w:val="12"/>
        </w:rPr>
        <w:t xml:space="preserve"> i) exiger du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il remplace</w:t>
      </w:r>
      <w:r w:rsidR="00FE10F5">
        <w:rPr>
          <w:color w:val="000000"/>
          <w:sz w:val="12"/>
          <w:szCs w:val="12"/>
        </w:rPr>
        <w:t>, reformule</w:t>
      </w:r>
      <w:r w:rsidR="00E45110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 xml:space="preserve">ou corrige sans délai les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défectueux et/ou non conformes </w:t>
      </w:r>
      <w:r w:rsidR="00E45110">
        <w:rPr>
          <w:color w:val="000000"/>
          <w:sz w:val="12"/>
          <w:szCs w:val="12"/>
        </w:rPr>
        <w:t xml:space="preserve">ou reprenne leur conception </w:t>
      </w:r>
      <w:r w:rsidRPr="00B55ADC">
        <w:rPr>
          <w:color w:val="000000"/>
          <w:sz w:val="12"/>
          <w:szCs w:val="12"/>
        </w:rPr>
        <w:t xml:space="preserve">aux frais du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; ou ii) remplacer ou corriger les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défectueu</w:t>
      </w:r>
      <w:r w:rsidR="008D654B">
        <w:rPr>
          <w:color w:val="000000"/>
          <w:sz w:val="12"/>
          <w:szCs w:val="12"/>
        </w:rPr>
        <w:t>x</w:t>
      </w:r>
      <w:r w:rsidRPr="00B55ADC">
        <w:rPr>
          <w:color w:val="000000"/>
          <w:sz w:val="12"/>
          <w:szCs w:val="12"/>
        </w:rPr>
        <w:t xml:space="preserve"> et imputer au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tous les frais engagés par Interfor. Les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utilisés pour corriger la non-conformité seront également garantis pendant une période de 12 mois à </w:t>
      </w:r>
      <w:r w:rsidR="00626578">
        <w:rPr>
          <w:color w:val="000000"/>
          <w:sz w:val="12"/>
          <w:szCs w:val="12"/>
        </w:rPr>
        <w:t>parti</w:t>
      </w:r>
      <w:r w:rsidRPr="00B55ADC">
        <w:rPr>
          <w:color w:val="000000"/>
          <w:sz w:val="12"/>
          <w:szCs w:val="12"/>
        </w:rPr>
        <w:t>r de la date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installation.</w:t>
      </w:r>
    </w:p>
    <w:p w14:paraId="2E2BD384" w14:textId="07D367CA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pacing w:val="-1"/>
          <w:sz w:val="12"/>
          <w:szCs w:val="12"/>
        </w:rPr>
        <w:t>GARANTIES D</w:t>
      </w:r>
      <w:r w:rsidR="00082FD0">
        <w:rPr>
          <w:b/>
          <w:color w:val="000000"/>
          <w:spacing w:val="-1"/>
          <w:sz w:val="12"/>
          <w:szCs w:val="12"/>
        </w:rPr>
        <w:t>ES</w:t>
      </w:r>
      <w:r w:rsidRPr="00B55ADC">
        <w:rPr>
          <w:b/>
          <w:color w:val="000000"/>
          <w:spacing w:val="-1"/>
          <w:sz w:val="12"/>
          <w:szCs w:val="12"/>
        </w:rPr>
        <w:t xml:space="preserve"> FABRICANT</w:t>
      </w:r>
      <w:r w:rsidR="00082FD0">
        <w:rPr>
          <w:b/>
          <w:color w:val="000000"/>
          <w:spacing w:val="-1"/>
          <w:sz w:val="12"/>
          <w:szCs w:val="12"/>
        </w:rPr>
        <w:t>S</w:t>
      </w:r>
      <w:r w:rsidRPr="00B55ADC">
        <w:rPr>
          <w:color w:val="000000"/>
          <w:spacing w:val="-1"/>
          <w:sz w:val="12"/>
          <w:szCs w:val="12"/>
        </w:rPr>
        <w:t xml:space="preserve">. Le </w:t>
      </w:r>
      <w:r w:rsidR="00CE4FA4">
        <w:rPr>
          <w:color w:val="000000"/>
          <w:spacing w:val="-1"/>
          <w:sz w:val="12"/>
          <w:szCs w:val="12"/>
        </w:rPr>
        <w:t>Fournisseur</w:t>
      </w:r>
      <w:r w:rsidRPr="00B55ADC">
        <w:rPr>
          <w:color w:val="000000"/>
          <w:spacing w:val="-1"/>
          <w:sz w:val="12"/>
          <w:szCs w:val="12"/>
        </w:rPr>
        <w:t xml:space="preserve"> </w:t>
      </w:r>
      <w:r w:rsidR="00041C7D">
        <w:rPr>
          <w:color w:val="000000"/>
          <w:spacing w:val="-1"/>
          <w:sz w:val="12"/>
          <w:szCs w:val="12"/>
        </w:rPr>
        <w:t>cède</w:t>
      </w:r>
      <w:r w:rsidRPr="00B55ADC">
        <w:rPr>
          <w:color w:val="000000"/>
          <w:spacing w:val="-1"/>
          <w:sz w:val="12"/>
          <w:szCs w:val="12"/>
        </w:rPr>
        <w:t xml:space="preserve"> par les présentes à Interfor le bénéfice </w:t>
      </w:r>
      <w:r w:rsidR="00931D73">
        <w:rPr>
          <w:color w:val="000000"/>
          <w:spacing w:val="-1"/>
          <w:sz w:val="12"/>
          <w:szCs w:val="12"/>
        </w:rPr>
        <w:t xml:space="preserve">de l’ensemble </w:t>
      </w:r>
      <w:r w:rsidRPr="00B55ADC">
        <w:rPr>
          <w:color w:val="000000"/>
          <w:spacing w:val="-1"/>
          <w:sz w:val="12"/>
          <w:szCs w:val="12"/>
        </w:rPr>
        <w:t>des garanties des fabricants d</w:t>
      </w:r>
      <w:r w:rsidR="00BE44D5">
        <w:rPr>
          <w:color w:val="000000"/>
          <w:spacing w:val="-1"/>
          <w:sz w:val="12"/>
          <w:szCs w:val="12"/>
        </w:rPr>
        <w:t>u</w:t>
      </w:r>
      <w:r w:rsidRPr="00B55ADC">
        <w:rPr>
          <w:color w:val="000000"/>
          <w:spacing w:val="-1"/>
          <w:sz w:val="12"/>
          <w:szCs w:val="12"/>
        </w:rPr>
        <w:t xml:space="preserve"> </w:t>
      </w:r>
      <w:r w:rsidR="00CE4FA4">
        <w:rPr>
          <w:color w:val="000000"/>
          <w:spacing w:val="-1"/>
          <w:sz w:val="12"/>
          <w:szCs w:val="12"/>
        </w:rPr>
        <w:t>Fournisseur</w:t>
      </w:r>
      <w:r w:rsidRPr="00B55ADC">
        <w:rPr>
          <w:color w:val="000000"/>
          <w:spacing w:val="-1"/>
          <w:sz w:val="12"/>
          <w:szCs w:val="12"/>
        </w:rPr>
        <w:t xml:space="preserve"> ou d</w:t>
      </w:r>
      <w:r>
        <w:rPr>
          <w:color w:val="000000"/>
          <w:spacing w:val="-1"/>
          <w:sz w:val="12"/>
          <w:szCs w:val="12"/>
        </w:rPr>
        <w:t>’</w:t>
      </w:r>
      <w:r w:rsidRPr="00B55ADC">
        <w:rPr>
          <w:color w:val="000000"/>
          <w:spacing w:val="-1"/>
          <w:sz w:val="12"/>
          <w:szCs w:val="12"/>
        </w:rPr>
        <w:t>autres tiers et des indemnités à l</w:t>
      </w:r>
      <w:r>
        <w:rPr>
          <w:color w:val="000000"/>
          <w:spacing w:val="-1"/>
          <w:sz w:val="12"/>
          <w:szCs w:val="12"/>
        </w:rPr>
        <w:t>’</w:t>
      </w:r>
      <w:r w:rsidRPr="00B55ADC">
        <w:rPr>
          <w:color w:val="000000"/>
          <w:spacing w:val="-1"/>
          <w:sz w:val="12"/>
          <w:szCs w:val="12"/>
        </w:rPr>
        <w:t xml:space="preserve">égard des </w:t>
      </w:r>
      <w:r w:rsidR="00CE4FA4">
        <w:rPr>
          <w:color w:val="000000"/>
          <w:spacing w:val="-1"/>
          <w:sz w:val="12"/>
          <w:szCs w:val="12"/>
        </w:rPr>
        <w:t xml:space="preserve">Biens/Services </w:t>
      </w:r>
      <w:r w:rsidRPr="00B55ADC">
        <w:rPr>
          <w:color w:val="000000"/>
          <w:spacing w:val="-1"/>
          <w:sz w:val="12"/>
          <w:szCs w:val="12"/>
        </w:rPr>
        <w:t>et convient, sur demande d</w:t>
      </w:r>
      <w:r>
        <w:rPr>
          <w:color w:val="000000"/>
          <w:spacing w:val="-1"/>
          <w:sz w:val="12"/>
          <w:szCs w:val="12"/>
        </w:rPr>
        <w:t>’</w:t>
      </w:r>
      <w:r w:rsidRPr="00B55ADC">
        <w:rPr>
          <w:color w:val="000000"/>
          <w:spacing w:val="-1"/>
          <w:sz w:val="12"/>
          <w:szCs w:val="12"/>
        </w:rPr>
        <w:t>Interfor,</w:t>
      </w:r>
      <w:r w:rsidR="002E24F5">
        <w:rPr>
          <w:color w:val="000000"/>
          <w:spacing w:val="-1"/>
          <w:sz w:val="12"/>
          <w:szCs w:val="12"/>
        </w:rPr>
        <w:t xml:space="preserve"> </w:t>
      </w:r>
      <w:r w:rsidRPr="00B55ADC">
        <w:rPr>
          <w:color w:val="000000"/>
          <w:spacing w:val="-1"/>
          <w:sz w:val="12"/>
          <w:szCs w:val="12"/>
        </w:rPr>
        <w:t>d</w:t>
      </w:r>
      <w:r w:rsidR="002E24F5">
        <w:rPr>
          <w:color w:val="000000"/>
          <w:spacing w:val="-1"/>
          <w:sz w:val="12"/>
          <w:szCs w:val="12"/>
        </w:rPr>
        <w:t>e signer</w:t>
      </w:r>
      <w:r w:rsidRPr="00B55ADC">
        <w:rPr>
          <w:color w:val="000000"/>
          <w:spacing w:val="-1"/>
          <w:sz w:val="12"/>
          <w:szCs w:val="12"/>
        </w:rPr>
        <w:t xml:space="preserve"> et de </w:t>
      </w:r>
      <w:r w:rsidR="002E24F5">
        <w:rPr>
          <w:color w:val="000000"/>
          <w:spacing w:val="-1"/>
          <w:sz w:val="12"/>
          <w:szCs w:val="12"/>
        </w:rPr>
        <w:t>remettre</w:t>
      </w:r>
      <w:r w:rsidRPr="00B55ADC">
        <w:rPr>
          <w:color w:val="000000"/>
          <w:spacing w:val="-1"/>
          <w:sz w:val="12"/>
          <w:szCs w:val="12"/>
        </w:rPr>
        <w:t xml:space="preserve"> </w:t>
      </w:r>
      <w:r w:rsidR="002D4B98">
        <w:rPr>
          <w:color w:val="000000"/>
          <w:spacing w:val="-1"/>
          <w:sz w:val="12"/>
          <w:szCs w:val="12"/>
        </w:rPr>
        <w:t xml:space="preserve">tout autre document qui peut être nécessaire pour permettre </w:t>
      </w:r>
      <w:r w:rsidRPr="00B55ADC">
        <w:rPr>
          <w:color w:val="000000"/>
          <w:spacing w:val="-1"/>
          <w:sz w:val="12"/>
          <w:szCs w:val="12"/>
        </w:rPr>
        <w:t>à Interfor d</w:t>
      </w:r>
      <w:r>
        <w:rPr>
          <w:color w:val="000000"/>
          <w:spacing w:val="-1"/>
          <w:sz w:val="12"/>
          <w:szCs w:val="12"/>
        </w:rPr>
        <w:t>’</w:t>
      </w:r>
      <w:r w:rsidRPr="00B55ADC">
        <w:rPr>
          <w:color w:val="000000"/>
          <w:spacing w:val="-1"/>
          <w:sz w:val="12"/>
          <w:szCs w:val="12"/>
        </w:rPr>
        <w:t xml:space="preserve">obtenir </w:t>
      </w:r>
      <w:r w:rsidR="002D4B98">
        <w:rPr>
          <w:color w:val="000000"/>
          <w:spacing w:val="-1"/>
          <w:sz w:val="12"/>
          <w:szCs w:val="12"/>
        </w:rPr>
        <w:t xml:space="preserve">toutes les garanties et protections d’indemnisation fournies par un fabricant. </w:t>
      </w:r>
      <w:r w:rsidRPr="00B55ADC">
        <w:rPr>
          <w:color w:val="000000"/>
          <w:spacing w:val="-1"/>
          <w:sz w:val="12"/>
          <w:szCs w:val="12"/>
        </w:rPr>
        <w:t xml:space="preserve">Dans la mesure où des garanties et indemnités ne peuvent être cédées à Interfor, le </w:t>
      </w:r>
      <w:r w:rsidR="00CE4FA4">
        <w:rPr>
          <w:color w:val="000000"/>
          <w:spacing w:val="-1"/>
          <w:sz w:val="12"/>
          <w:szCs w:val="12"/>
        </w:rPr>
        <w:t>Fournisseur</w:t>
      </w:r>
      <w:r w:rsidRPr="00B55ADC">
        <w:rPr>
          <w:color w:val="000000"/>
          <w:spacing w:val="-1"/>
          <w:sz w:val="12"/>
          <w:szCs w:val="12"/>
        </w:rPr>
        <w:t xml:space="preserve"> déploie </w:t>
      </w:r>
      <w:r w:rsidR="00BE44D5">
        <w:rPr>
          <w:color w:val="000000"/>
          <w:spacing w:val="-1"/>
          <w:sz w:val="12"/>
          <w:szCs w:val="12"/>
        </w:rPr>
        <w:t>d</w:t>
      </w:r>
      <w:r w:rsidRPr="00B55ADC">
        <w:rPr>
          <w:color w:val="000000"/>
          <w:spacing w:val="-1"/>
          <w:sz w:val="12"/>
          <w:szCs w:val="12"/>
        </w:rPr>
        <w:t>es efforts raisonnables à la demande d</w:t>
      </w:r>
      <w:r>
        <w:rPr>
          <w:color w:val="000000"/>
          <w:spacing w:val="-1"/>
          <w:sz w:val="12"/>
          <w:szCs w:val="12"/>
        </w:rPr>
        <w:t>’</w:t>
      </w:r>
      <w:r w:rsidRPr="00B55ADC">
        <w:rPr>
          <w:color w:val="000000"/>
          <w:spacing w:val="-1"/>
          <w:sz w:val="12"/>
          <w:szCs w:val="12"/>
        </w:rPr>
        <w:t>Interfor pour faire valoir ces réclamations ou droits pour le compte d</w:t>
      </w:r>
      <w:r>
        <w:rPr>
          <w:color w:val="000000"/>
          <w:spacing w:val="-1"/>
          <w:sz w:val="12"/>
          <w:szCs w:val="12"/>
        </w:rPr>
        <w:t>’</w:t>
      </w:r>
      <w:r w:rsidRPr="00B55ADC">
        <w:rPr>
          <w:color w:val="000000"/>
          <w:spacing w:val="-1"/>
          <w:sz w:val="12"/>
          <w:szCs w:val="12"/>
        </w:rPr>
        <w:t xml:space="preserve">Interfor. Malgré ce qui précède, le </w:t>
      </w:r>
      <w:r w:rsidR="00CE4FA4">
        <w:rPr>
          <w:color w:val="000000"/>
          <w:spacing w:val="-1"/>
          <w:sz w:val="12"/>
          <w:szCs w:val="12"/>
        </w:rPr>
        <w:t>Fournisseur</w:t>
      </w:r>
      <w:r w:rsidRPr="00B55ADC">
        <w:rPr>
          <w:color w:val="000000"/>
          <w:spacing w:val="-1"/>
          <w:sz w:val="12"/>
          <w:szCs w:val="12"/>
        </w:rPr>
        <w:t xml:space="preserve"> demeure responsable aux termes de ses obligations de garantie et de soutien aux termes des présentes.</w:t>
      </w:r>
    </w:p>
    <w:p w14:paraId="528F0E49" w14:textId="689EB4FD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LICENCE</w:t>
      </w:r>
      <w:r w:rsidRPr="002F732B">
        <w:rPr>
          <w:bCs/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accorde par les présentes à Interfor une licence ou une sous-licence, </w:t>
      </w:r>
      <w:r w:rsidR="007B58E3">
        <w:rPr>
          <w:color w:val="000000"/>
          <w:sz w:val="12"/>
          <w:szCs w:val="12"/>
        </w:rPr>
        <w:t>s</w:t>
      </w:r>
      <w:r w:rsidR="007B58E3" w:rsidRPr="007B58E3">
        <w:rPr>
          <w:color w:val="000000"/>
          <w:sz w:val="12"/>
          <w:szCs w:val="12"/>
        </w:rPr>
        <w:t xml:space="preserve">elon le cas, </w:t>
      </w:r>
      <w:r w:rsidRPr="00B55ADC">
        <w:rPr>
          <w:color w:val="000000"/>
          <w:sz w:val="12"/>
          <w:szCs w:val="12"/>
        </w:rPr>
        <w:t>entièrement libérée</w:t>
      </w:r>
      <w:r w:rsidR="003943DD">
        <w:rPr>
          <w:color w:val="000000"/>
          <w:sz w:val="12"/>
          <w:szCs w:val="12"/>
        </w:rPr>
        <w:t xml:space="preserve"> et acquittée</w:t>
      </w:r>
      <w:r w:rsidRPr="00B55ADC">
        <w:rPr>
          <w:color w:val="000000"/>
          <w:sz w:val="12"/>
          <w:szCs w:val="12"/>
        </w:rPr>
        <w:t xml:space="preserve">, non exclusive, perpétuelle et </w:t>
      </w:r>
      <w:r w:rsidR="00062F3C">
        <w:rPr>
          <w:color w:val="000000"/>
          <w:sz w:val="12"/>
          <w:szCs w:val="12"/>
        </w:rPr>
        <w:t>incessible</w:t>
      </w:r>
      <w:r w:rsidR="00E91BDB">
        <w:rPr>
          <w:color w:val="000000"/>
          <w:sz w:val="12"/>
          <w:szCs w:val="12"/>
        </w:rPr>
        <w:t>,</w:t>
      </w:r>
      <w:r w:rsidR="007B58E3">
        <w:rPr>
          <w:color w:val="000000"/>
          <w:sz w:val="12"/>
          <w:szCs w:val="12"/>
        </w:rPr>
        <w:t xml:space="preserve"> </w:t>
      </w:r>
      <w:r w:rsidR="00B943A9">
        <w:rPr>
          <w:color w:val="000000"/>
          <w:sz w:val="12"/>
          <w:szCs w:val="12"/>
        </w:rPr>
        <w:t xml:space="preserve">afin </w:t>
      </w:r>
      <w:r w:rsidRPr="00B55ADC">
        <w:rPr>
          <w:color w:val="000000"/>
          <w:sz w:val="12"/>
          <w:szCs w:val="12"/>
        </w:rPr>
        <w:t>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utiliser le </w:t>
      </w:r>
      <w:r w:rsidR="00B943A9">
        <w:rPr>
          <w:color w:val="000000"/>
          <w:sz w:val="12"/>
          <w:szCs w:val="12"/>
        </w:rPr>
        <w:t xml:space="preserve">ou les </w:t>
      </w:r>
      <w:r w:rsidRPr="00B55ADC">
        <w:rPr>
          <w:color w:val="000000"/>
          <w:sz w:val="12"/>
          <w:szCs w:val="12"/>
        </w:rPr>
        <w:t>logiciel</w:t>
      </w:r>
      <w:r w:rsidR="00B943A9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acheté</w:t>
      </w:r>
      <w:r w:rsidR="00B943A9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dans le cadre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pour le fonctionnement et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entretien normaux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déclare et garantit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Interfor n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est pas tenue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obtenir une licence de tiers distincte à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égard du </w:t>
      </w:r>
      <w:r w:rsidR="008955C7">
        <w:rPr>
          <w:color w:val="000000"/>
          <w:sz w:val="12"/>
          <w:szCs w:val="12"/>
        </w:rPr>
        <w:t xml:space="preserve">ou des </w:t>
      </w:r>
      <w:r w:rsidRPr="00B55ADC">
        <w:rPr>
          <w:color w:val="000000"/>
          <w:sz w:val="12"/>
          <w:szCs w:val="12"/>
        </w:rPr>
        <w:t>logiciel</w:t>
      </w:r>
      <w:r w:rsidR="008955C7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ou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>.</w:t>
      </w:r>
    </w:p>
    <w:p w14:paraId="20D88C05" w14:textId="3B7404FF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DROIT</w:t>
      </w:r>
      <w:r w:rsidR="00520CC8">
        <w:rPr>
          <w:b/>
          <w:color w:val="000000"/>
          <w:sz w:val="12"/>
          <w:szCs w:val="12"/>
        </w:rPr>
        <w:t>S</w:t>
      </w:r>
      <w:r w:rsidRPr="00B55ADC">
        <w:rPr>
          <w:b/>
          <w:color w:val="000000"/>
          <w:sz w:val="12"/>
          <w:szCs w:val="12"/>
        </w:rPr>
        <w:t xml:space="preserve"> D</w:t>
      </w:r>
      <w:r>
        <w:rPr>
          <w:b/>
          <w:color w:val="000000"/>
          <w:sz w:val="12"/>
          <w:szCs w:val="12"/>
        </w:rPr>
        <w:t>’</w:t>
      </w:r>
      <w:r w:rsidRPr="00B55ADC">
        <w:rPr>
          <w:b/>
          <w:color w:val="000000"/>
          <w:sz w:val="12"/>
          <w:szCs w:val="12"/>
        </w:rPr>
        <w:t>AUTEUR</w:t>
      </w:r>
      <w:r w:rsidRPr="002F732B">
        <w:rPr>
          <w:bCs/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Les droits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auteur sur les documents </w:t>
      </w:r>
      <w:r w:rsidR="005613E6">
        <w:rPr>
          <w:color w:val="000000"/>
          <w:sz w:val="12"/>
          <w:szCs w:val="12"/>
        </w:rPr>
        <w:t xml:space="preserve">et éléments matériels </w:t>
      </w:r>
      <w:r w:rsidRPr="00B55ADC">
        <w:rPr>
          <w:color w:val="000000"/>
          <w:sz w:val="12"/>
          <w:szCs w:val="12"/>
        </w:rPr>
        <w:t xml:space="preserve">produits expressément par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pour Interfor aux termes du présent bon de commande appartiennent à Interfor. À la demande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Interfor,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remet à Interfor des documents satisfaisants renonçant, en faveur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Interfor, aux droits </w:t>
      </w:r>
      <w:r w:rsidR="00DA7A2E">
        <w:rPr>
          <w:color w:val="000000"/>
          <w:sz w:val="12"/>
          <w:szCs w:val="12"/>
        </w:rPr>
        <w:t xml:space="preserve">moraux </w:t>
      </w:r>
      <w:r w:rsidRPr="00B55ADC">
        <w:rPr>
          <w:color w:val="000000"/>
          <w:sz w:val="12"/>
          <w:szCs w:val="12"/>
        </w:rPr>
        <w:t xml:space="preserve">que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ou </w:t>
      </w:r>
      <w:r w:rsidR="00B24196">
        <w:rPr>
          <w:color w:val="000000"/>
          <w:sz w:val="12"/>
          <w:szCs w:val="12"/>
        </w:rPr>
        <w:t>l</w:t>
      </w:r>
      <w:r w:rsidRPr="00B55ADC">
        <w:rPr>
          <w:color w:val="000000"/>
          <w:sz w:val="12"/>
          <w:szCs w:val="12"/>
        </w:rPr>
        <w:t xml:space="preserve">es </w:t>
      </w:r>
      <w:r w:rsidR="00CE4FA4">
        <w:rPr>
          <w:color w:val="000000"/>
          <w:sz w:val="12"/>
          <w:szCs w:val="12"/>
        </w:rPr>
        <w:t>Représentants</w:t>
      </w:r>
      <w:r w:rsidRPr="00B55ADC">
        <w:rPr>
          <w:color w:val="000000"/>
          <w:sz w:val="12"/>
          <w:szCs w:val="12"/>
        </w:rPr>
        <w:t xml:space="preserve"> peuvent avoir sur les documents</w:t>
      </w:r>
      <w:r w:rsidR="00B24196">
        <w:rPr>
          <w:color w:val="000000"/>
          <w:sz w:val="12"/>
          <w:szCs w:val="12"/>
        </w:rPr>
        <w:t xml:space="preserve"> et éléments matériels</w:t>
      </w:r>
      <w:r w:rsidRPr="00B55ADC">
        <w:rPr>
          <w:color w:val="000000"/>
          <w:sz w:val="12"/>
          <w:szCs w:val="12"/>
        </w:rPr>
        <w:t>.</w:t>
      </w:r>
    </w:p>
    <w:p w14:paraId="0DF2A4F4" w14:textId="2782522B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DESSINS D</w:t>
      </w:r>
      <w:r>
        <w:rPr>
          <w:b/>
          <w:color w:val="000000"/>
          <w:sz w:val="12"/>
          <w:szCs w:val="12"/>
        </w:rPr>
        <w:t>’</w:t>
      </w:r>
      <w:r w:rsidRPr="00B55ADC">
        <w:rPr>
          <w:b/>
          <w:color w:val="000000"/>
          <w:sz w:val="12"/>
          <w:szCs w:val="12"/>
        </w:rPr>
        <w:t>A</w:t>
      </w:r>
      <w:r w:rsidR="00E87482">
        <w:rPr>
          <w:b/>
          <w:color w:val="000000"/>
          <w:sz w:val="12"/>
          <w:szCs w:val="12"/>
        </w:rPr>
        <w:t>TELIER</w:t>
      </w:r>
      <w:r w:rsidRPr="00B55ADC">
        <w:rPr>
          <w:b/>
          <w:color w:val="000000"/>
          <w:sz w:val="12"/>
          <w:szCs w:val="12"/>
        </w:rPr>
        <w:t xml:space="preserve"> ET AUTRES LIVRABLES</w:t>
      </w:r>
      <w:r w:rsidRPr="00B55ADC">
        <w:rPr>
          <w:color w:val="000000"/>
          <w:sz w:val="12"/>
          <w:szCs w:val="12"/>
        </w:rPr>
        <w:t xml:space="preserve">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doit se conformer aux demandes raisonnables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Interfor </w:t>
      </w:r>
      <w:r w:rsidR="00834BFD">
        <w:rPr>
          <w:color w:val="000000"/>
          <w:sz w:val="12"/>
          <w:szCs w:val="12"/>
        </w:rPr>
        <w:t xml:space="preserve">afin </w:t>
      </w:r>
      <w:r w:rsidRPr="00B55ADC">
        <w:rPr>
          <w:color w:val="000000"/>
          <w:sz w:val="12"/>
          <w:szCs w:val="12"/>
        </w:rPr>
        <w:t xml:space="preserve">que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</w:t>
      </w:r>
      <w:r w:rsidR="00082EE8">
        <w:rPr>
          <w:color w:val="000000"/>
          <w:sz w:val="12"/>
          <w:szCs w:val="12"/>
        </w:rPr>
        <w:t>soumette</w:t>
      </w:r>
      <w:r w:rsidRPr="00B55ADC">
        <w:rPr>
          <w:color w:val="000000"/>
          <w:sz w:val="12"/>
          <w:szCs w:val="12"/>
        </w:rPr>
        <w:t xml:space="preserve">, examine ou modifie des </w:t>
      </w:r>
      <w:r w:rsidR="00975525">
        <w:rPr>
          <w:color w:val="000000"/>
          <w:sz w:val="12"/>
          <w:szCs w:val="12"/>
        </w:rPr>
        <w:t>dessins</w:t>
      </w:r>
      <w:r w:rsidRPr="00B55ADC">
        <w:rPr>
          <w:color w:val="000000"/>
          <w:sz w:val="12"/>
          <w:szCs w:val="12"/>
        </w:rPr>
        <w:t xml:space="preserve">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atelier ou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autres livrables ou fournisse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autres renseignements à des fins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examen et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approbation, étant entendu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aucun des examens, demandes et approbations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Interfor ne rédui</w:t>
      </w:r>
      <w:r w:rsidR="000C2A44">
        <w:rPr>
          <w:color w:val="000000"/>
          <w:sz w:val="12"/>
          <w:szCs w:val="12"/>
        </w:rPr>
        <w:t>t</w:t>
      </w:r>
      <w:r w:rsidRPr="00B55ADC">
        <w:rPr>
          <w:color w:val="000000"/>
          <w:sz w:val="12"/>
          <w:szCs w:val="12"/>
        </w:rPr>
        <w:t xml:space="preserve"> </w:t>
      </w:r>
      <w:r w:rsidR="000C2A44">
        <w:rPr>
          <w:color w:val="000000"/>
          <w:sz w:val="12"/>
          <w:szCs w:val="12"/>
        </w:rPr>
        <w:t>l</w:t>
      </w:r>
      <w:r w:rsidRPr="00B55ADC">
        <w:rPr>
          <w:color w:val="000000"/>
          <w:sz w:val="12"/>
          <w:szCs w:val="12"/>
        </w:rPr>
        <w:t xml:space="preserve">es obligations et responsabilités </w:t>
      </w:r>
      <w:r w:rsidR="000C2A44">
        <w:rPr>
          <w:color w:val="000000"/>
          <w:sz w:val="12"/>
          <w:szCs w:val="12"/>
        </w:rPr>
        <w:t xml:space="preserve">du </w:t>
      </w:r>
      <w:r w:rsidR="00CE4FA4">
        <w:rPr>
          <w:color w:val="000000"/>
          <w:sz w:val="12"/>
          <w:szCs w:val="12"/>
        </w:rPr>
        <w:t>Fournisseur</w:t>
      </w:r>
      <w:r w:rsidR="000C2A44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>à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égard des </w:t>
      </w:r>
      <w:r w:rsidR="00CE4FA4">
        <w:rPr>
          <w:color w:val="000000"/>
          <w:sz w:val="12"/>
          <w:szCs w:val="12"/>
        </w:rPr>
        <w:t>Biens</w:t>
      </w:r>
      <w:r w:rsidR="000C2A44">
        <w:rPr>
          <w:color w:val="000000"/>
          <w:sz w:val="12"/>
          <w:szCs w:val="12"/>
        </w:rPr>
        <w:t>/</w:t>
      </w:r>
      <w:r w:rsidR="00CE4FA4">
        <w:rPr>
          <w:color w:val="000000"/>
          <w:sz w:val="12"/>
          <w:szCs w:val="12"/>
        </w:rPr>
        <w:t>Services</w:t>
      </w:r>
      <w:r w:rsidRPr="00B55ADC">
        <w:rPr>
          <w:color w:val="000000"/>
          <w:sz w:val="12"/>
          <w:szCs w:val="12"/>
        </w:rPr>
        <w:t>.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examen ou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approbation </w:t>
      </w:r>
      <w:r w:rsidR="001D7EBE" w:rsidRPr="001D7EBE">
        <w:rPr>
          <w:color w:val="000000"/>
          <w:sz w:val="12"/>
          <w:szCs w:val="12"/>
        </w:rPr>
        <w:t xml:space="preserve">par Interfor </w:t>
      </w:r>
      <w:r w:rsidRPr="00B55ADC">
        <w:rPr>
          <w:color w:val="000000"/>
          <w:sz w:val="12"/>
          <w:szCs w:val="12"/>
        </w:rPr>
        <w:t xml:space="preserve">des </w:t>
      </w:r>
      <w:r w:rsidR="00C31E97">
        <w:rPr>
          <w:color w:val="000000"/>
          <w:sz w:val="12"/>
          <w:szCs w:val="12"/>
        </w:rPr>
        <w:t>dessins d’atelier ou autres livrables</w:t>
      </w:r>
      <w:r w:rsidR="00005ADE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 xml:space="preserve">remis par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s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effectue uniquement aux fins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Interfor et ne libère pas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des responsabilités qui lui incombent aux termes des présentes.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convient 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Interfor </w:t>
      </w:r>
      <w:r w:rsidR="00223A40">
        <w:rPr>
          <w:color w:val="000000"/>
          <w:sz w:val="12"/>
          <w:szCs w:val="12"/>
        </w:rPr>
        <w:t>aura la propriété</w:t>
      </w:r>
      <w:r w:rsidRPr="00B55ADC">
        <w:rPr>
          <w:color w:val="000000"/>
          <w:sz w:val="12"/>
          <w:szCs w:val="12"/>
        </w:rPr>
        <w:t xml:space="preserve"> exclusi</w:t>
      </w:r>
      <w:r w:rsidR="00223A40">
        <w:rPr>
          <w:color w:val="000000"/>
          <w:sz w:val="12"/>
          <w:szCs w:val="12"/>
        </w:rPr>
        <w:t>ve</w:t>
      </w:r>
      <w:r w:rsidRPr="00B55ADC">
        <w:rPr>
          <w:color w:val="000000"/>
          <w:sz w:val="12"/>
          <w:szCs w:val="12"/>
        </w:rPr>
        <w:t xml:space="preserve"> de tous les livrables et de tous les </w:t>
      </w:r>
      <w:r w:rsidR="00223A40" w:rsidRPr="00223A40">
        <w:rPr>
          <w:color w:val="000000"/>
          <w:sz w:val="12"/>
          <w:szCs w:val="12"/>
        </w:rPr>
        <w:t>algorithmes</w:t>
      </w:r>
      <w:r w:rsidR="00223A40">
        <w:rPr>
          <w:color w:val="000000"/>
          <w:sz w:val="12"/>
          <w:szCs w:val="12"/>
        </w:rPr>
        <w:t xml:space="preserve">, </w:t>
      </w:r>
      <w:r w:rsidRPr="00B55ADC">
        <w:rPr>
          <w:color w:val="000000"/>
          <w:sz w:val="12"/>
          <w:szCs w:val="12"/>
        </w:rPr>
        <w:t>idées, découvertes, inventions, formules,</w:t>
      </w:r>
      <w:r w:rsidR="00223A40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 xml:space="preserve">techniques, procédés, </w:t>
      </w:r>
      <w:r w:rsidR="00223A40">
        <w:rPr>
          <w:color w:val="000000"/>
          <w:sz w:val="12"/>
          <w:szCs w:val="12"/>
        </w:rPr>
        <w:t xml:space="preserve">processus, </w:t>
      </w:r>
      <w:r w:rsidRPr="00B55ADC">
        <w:rPr>
          <w:color w:val="000000"/>
          <w:sz w:val="12"/>
          <w:szCs w:val="12"/>
        </w:rPr>
        <w:t xml:space="preserve">savoir-faire, secrets commerciaux et autres droits de propriété intellectuelle, y compris toutes les expressions de cette propriété intellectuelle sous une forme </w:t>
      </w:r>
      <w:r w:rsidR="007C3FF8">
        <w:rPr>
          <w:color w:val="000000"/>
          <w:sz w:val="12"/>
          <w:szCs w:val="12"/>
        </w:rPr>
        <w:t>matérielle</w:t>
      </w:r>
      <w:r w:rsidRPr="00B55ADC">
        <w:rPr>
          <w:color w:val="000000"/>
          <w:sz w:val="12"/>
          <w:szCs w:val="12"/>
        </w:rPr>
        <w:t>, qui sont spécifiquement développés</w:t>
      </w:r>
      <w:r w:rsidR="00F43541">
        <w:rPr>
          <w:color w:val="000000"/>
          <w:sz w:val="12"/>
          <w:szCs w:val="12"/>
        </w:rPr>
        <w:t>, élaborés</w:t>
      </w:r>
      <w:r w:rsidRPr="00B55ADC">
        <w:rPr>
          <w:color w:val="000000"/>
          <w:sz w:val="12"/>
          <w:szCs w:val="12"/>
        </w:rPr>
        <w:t xml:space="preserve"> ou créés pour Interfor aux termes de la présente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>.</w:t>
      </w:r>
    </w:p>
    <w:p w14:paraId="1A98AA96" w14:textId="6284BCB5" w:rsidR="00B55ADC" w:rsidRPr="003F6A1B" w:rsidRDefault="003F6A1B" w:rsidP="003F6A1B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bCs/>
          <w:color w:val="000000"/>
          <w:sz w:val="12"/>
          <w:szCs w:val="12"/>
        </w:rPr>
      </w:pPr>
      <w:bookmarkStart w:id="4" w:name="_bookmark0"/>
      <w:bookmarkEnd w:id="4"/>
      <w:r w:rsidRPr="00B55ADC">
        <w:rPr>
          <w:b/>
          <w:color w:val="000000"/>
          <w:sz w:val="12"/>
          <w:szCs w:val="12"/>
        </w:rPr>
        <w:t>INDEMNISATION</w:t>
      </w:r>
      <w:r w:rsidR="002F732B" w:rsidRPr="002F732B">
        <w:rPr>
          <w:bCs/>
          <w:color w:val="000000"/>
          <w:sz w:val="12"/>
          <w:szCs w:val="12"/>
        </w:rPr>
        <w:t>.</w:t>
      </w:r>
      <w:r w:rsidRPr="003F6A1B">
        <w:rPr>
          <w:b/>
          <w:color w:val="000000"/>
          <w:sz w:val="12"/>
          <w:szCs w:val="12"/>
        </w:rPr>
        <w:t xml:space="preserve"> </w:t>
      </w:r>
      <w:r w:rsidR="00B55ADC" w:rsidRPr="003F6A1B">
        <w:rPr>
          <w:bCs/>
          <w:color w:val="000000"/>
          <w:sz w:val="12"/>
          <w:szCs w:val="12"/>
        </w:rPr>
        <w:t xml:space="preserve">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3F6A1B">
        <w:rPr>
          <w:bCs/>
          <w:color w:val="000000"/>
          <w:sz w:val="12"/>
          <w:szCs w:val="12"/>
        </w:rPr>
        <w:t xml:space="preserve"> </w:t>
      </w:r>
      <w:r w:rsidR="00D73116">
        <w:rPr>
          <w:bCs/>
          <w:color w:val="000000"/>
          <w:sz w:val="12"/>
          <w:szCs w:val="12"/>
        </w:rPr>
        <w:t>tient</w:t>
      </w:r>
      <w:r w:rsidR="00B55ADC" w:rsidRPr="003F6A1B">
        <w:rPr>
          <w:bCs/>
          <w:color w:val="000000"/>
          <w:sz w:val="12"/>
          <w:szCs w:val="12"/>
        </w:rPr>
        <w:t xml:space="preserve"> Interfor, les membres de son groupe et chacun de leurs administrateurs, dirigeants, employés, </w:t>
      </w:r>
      <w:r w:rsidR="00CE392C">
        <w:rPr>
          <w:bCs/>
          <w:color w:val="000000"/>
          <w:sz w:val="12"/>
          <w:szCs w:val="12"/>
        </w:rPr>
        <w:t xml:space="preserve">agents, </w:t>
      </w:r>
      <w:r w:rsidR="00B55ADC" w:rsidRPr="003F6A1B">
        <w:rPr>
          <w:bCs/>
          <w:color w:val="000000"/>
          <w:sz w:val="12"/>
          <w:szCs w:val="12"/>
        </w:rPr>
        <w:t>mandataires et entrepreneurs (les « </w:t>
      </w:r>
      <w:r w:rsidR="00501F0D">
        <w:rPr>
          <w:b/>
          <w:color w:val="000000"/>
          <w:sz w:val="12"/>
          <w:szCs w:val="12"/>
        </w:rPr>
        <w:t>Indemnitaires</w:t>
      </w:r>
      <w:r w:rsidR="00B55ADC" w:rsidRPr="003F6A1B">
        <w:rPr>
          <w:bCs/>
          <w:color w:val="000000"/>
          <w:sz w:val="12"/>
          <w:szCs w:val="12"/>
        </w:rPr>
        <w:t xml:space="preserve"> ») </w:t>
      </w:r>
      <w:r w:rsidR="00CE392C">
        <w:rPr>
          <w:bCs/>
          <w:color w:val="000000"/>
          <w:sz w:val="12"/>
          <w:szCs w:val="12"/>
        </w:rPr>
        <w:t xml:space="preserve">indemnes et </w:t>
      </w:r>
      <w:r w:rsidR="00B55ADC" w:rsidRPr="003F6A1B">
        <w:rPr>
          <w:bCs/>
          <w:color w:val="000000"/>
          <w:sz w:val="12"/>
          <w:szCs w:val="12"/>
        </w:rPr>
        <w:t xml:space="preserve">à couvert </w:t>
      </w:r>
      <w:r w:rsidR="00C31B09">
        <w:rPr>
          <w:bCs/>
          <w:color w:val="000000"/>
          <w:sz w:val="12"/>
          <w:szCs w:val="12"/>
        </w:rPr>
        <w:t xml:space="preserve">et les défend </w:t>
      </w:r>
      <w:r w:rsidR="00B55ADC" w:rsidRPr="003F6A1B">
        <w:rPr>
          <w:bCs/>
          <w:color w:val="000000"/>
          <w:sz w:val="12"/>
          <w:szCs w:val="12"/>
        </w:rPr>
        <w:t xml:space="preserve">à l’égard de tous les dommages, </w:t>
      </w:r>
      <w:r w:rsidR="001A00EA">
        <w:rPr>
          <w:bCs/>
          <w:color w:val="000000"/>
          <w:sz w:val="12"/>
          <w:szCs w:val="12"/>
        </w:rPr>
        <w:t xml:space="preserve">pertes, </w:t>
      </w:r>
      <w:r w:rsidR="00B55ADC" w:rsidRPr="003F6A1B">
        <w:rPr>
          <w:bCs/>
          <w:color w:val="000000"/>
          <w:sz w:val="12"/>
          <w:szCs w:val="12"/>
        </w:rPr>
        <w:t xml:space="preserve">responsabilités, </w:t>
      </w:r>
      <w:r w:rsidR="009249F9">
        <w:rPr>
          <w:bCs/>
          <w:color w:val="000000"/>
          <w:sz w:val="12"/>
          <w:szCs w:val="12"/>
        </w:rPr>
        <w:t xml:space="preserve">obligations, </w:t>
      </w:r>
      <w:r w:rsidR="00B55ADC" w:rsidRPr="003F6A1B">
        <w:rPr>
          <w:bCs/>
          <w:color w:val="000000"/>
          <w:sz w:val="12"/>
          <w:szCs w:val="12"/>
        </w:rPr>
        <w:t xml:space="preserve">pénalités, amendes, </w:t>
      </w:r>
      <w:r w:rsidR="00200E29">
        <w:rPr>
          <w:bCs/>
          <w:color w:val="000000"/>
          <w:sz w:val="12"/>
          <w:szCs w:val="12"/>
        </w:rPr>
        <w:t>préjudices</w:t>
      </w:r>
      <w:r w:rsidR="004B7AC3">
        <w:rPr>
          <w:bCs/>
          <w:color w:val="000000"/>
          <w:sz w:val="12"/>
          <w:szCs w:val="12"/>
        </w:rPr>
        <w:t xml:space="preserve"> </w:t>
      </w:r>
      <w:r w:rsidR="00B55ADC" w:rsidRPr="003F6A1B">
        <w:rPr>
          <w:bCs/>
          <w:color w:val="000000"/>
          <w:sz w:val="12"/>
          <w:szCs w:val="12"/>
        </w:rPr>
        <w:t xml:space="preserve">subis par des personnes ou des </w:t>
      </w:r>
      <w:r w:rsidR="00E73E2A">
        <w:rPr>
          <w:bCs/>
          <w:color w:val="000000"/>
          <w:sz w:val="12"/>
          <w:szCs w:val="12"/>
        </w:rPr>
        <w:t>b</w:t>
      </w:r>
      <w:r w:rsidR="00CE4FA4">
        <w:rPr>
          <w:bCs/>
          <w:color w:val="000000"/>
          <w:sz w:val="12"/>
          <w:szCs w:val="12"/>
        </w:rPr>
        <w:t>iens</w:t>
      </w:r>
      <w:r w:rsidR="00B55ADC" w:rsidRPr="003F6A1B">
        <w:rPr>
          <w:bCs/>
          <w:color w:val="000000"/>
          <w:sz w:val="12"/>
          <w:szCs w:val="12"/>
        </w:rPr>
        <w:t xml:space="preserve">, réclamations, actions, poursuites, </w:t>
      </w:r>
      <w:r w:rsidR="004B7AC3">
        <w:rPr>
          <w:bCs/>
          <w:color w:val="000000"/>
          <w:sz w:val="12"/>
          <w:szCs w:val="12"/>
        </w:rPr>
        <w:t>instances</w:t>
      </w:r>
      <w:r w:rsidR="00B55ADC" w:rsidRPr="003F6A1B">
        <w:rPr>
          <w:bCs/>
          <w:color w:val="000000"/>
          <w:sz w:val="12"/>
          <w:szCs w:val="12"/>
        </w:rPr>
        <w:t>, jugements et dépenses (y compris</w:t>
      </w:r>
      <w:r w:rsidR="00C62159">
        <w:rPr>
          <w:bCs/>
          <w:color w:val="000000"/>
          <w:sz w:val="12"/>
          <w:szCs w:val="12"/>
        </w:rPr>
        <w:t xml:space="preserve"> mais sans s’y limiter les honoraires </w:t>
      </w:r>
      <w:r w:rsidR="00B55ADC" w:rsidRPr="003F6A1B">
        <w:rPr>
          <w:bCs/>
          <w:color w:val="000000"/>
          <w:sz w:val="12"/>
          <w:szCs w:val="12"/>
        </w:rPr>
        <w:t xml:space="preserve">et frais juridiques raisonnables) engagés, </w:t>
      </w:r>
      <w:r w:rsidR="00FE07C5">
        <w:rPr>
          <w:bCs/>
          <w:color w:val="000000"/>
          <w:sz w:val="12"/>
          <w:szCs w:val="12"/>
        </w:rPr>
        <w:t>encourus</w:t>
      </w:r>
      <w:r w:rsidR="0005097A">
        <w:rPr>
          <w:bCs/>
          <w:color w:val="000000"/>
          <w:sz w:val="12"/>
          <w:szCs w:val="12"/>
        </w:rPr>
        <w:t xml:space="preserve"> ou</w:t>
      </w:r>
      <w:r w:rsidR="00FE07C5">
        <w:rPr>
          <w:bCs/>
          <w:color w:val="000000"/>
          <w:sz w:val="12"/>
          <w:szCs w:val="12"/>
        </w:rPr>
        <w:t xml:space="preserve"> subis</w:t>
      </w:r>
      <w:r w:rsidR="00D03BC0">
        <w:rPr>
          <w:bCs/>
          <w:color w:val="000000"/>
          <w:sz w:val="12"/>
          <w:szCs w:val="12"/>
        </w:rPr>
        <w:t xml:space="preserve"> par les </w:t>
      </w:r>
      <w:r w:rsidR="00501F0D">
        <w:rPr>
          <w:bCs/>
          <w:color w:val="000000"/>
          <w:sz w:val="12"/>
          <w:szCs w:val="12"/>
        </w:rPr>
        <w:t>Indemnitaires</w:t>
      </w:r>
      <w:r w:rsidR="0005097A">
        <w:rPr>
          <w:bCs/>
          <w:color w:val="000000"/>
          <w:sz w:val="12"/>
          <w:szCs w:val="12"/>
        </w:rPr>
        <w:t xml:space="preserve"> ou l’un d’eux</w:t>
      </w:r>
      <w:r w:rsidR="00D03BC0">
        <w:rPr>
          <w:bCs/>
          <w:color w:val="000000"/>
          <w:sz w:val="12"/>
          <w:szCs w:val="12"/>
        </w:rPr>
        <w:t xml:space="preserve"> ou</w:t>
      </w:r>
      <w:r w:rsidR="0005097A">
        <w:rPr>
          <w:bCs/>
          <w:color w:val="000000"/>
          <w:sz w:val="12"/>
          <w:szCs w:val="12"/>
        </w:rPr>
        <w:t xml:space="preserve"> </w:t>
      </w:r>
      <w:r w:rsidR="00341BD6">
        <w:rPr>
          <w:bCs/>
          <w:color w:val="000000"/>
          <w:sz w:val="12"/>
          <w:szCs w:val="12"/>
        </w:rPr>
        <w:t>intentés</w:t>
      </w:r>
      <w:r w:rsidR="00B55ADC" w:rsidRPr="003F6A1B">
        <w:rPr>
          <w:bCs/>
          <w:color w:val="000000"/>
          <w:sz w:val="12"/>
          <w:szCs w:val="12"/>
        </w:rPr>
        <w:t xml:space="preserve"> ou </w:t>
      </w:r>
      <w:r w:rsidR="008A6565">
        <w:rPr>
          <w:bCs/>
          <w:color w:val="000000"/>
          <w:sz w:val="12"/>
          <w:szCs w:val="12"/>
        </w:rPr>
        <w:t>entrepris</w:t>
      </w:r>
      <w:r w:rsidR="00B55ADC" w:rsidRPr="003F6A1B">
        <w:rPr>
          <w:bCs/>
          <w:color w:val="000000"/>
          <w:sz w:val="12"/>
          <w:szCs w:val="12"/>
        </w:rPr>
        <w:t xml:space="preserve"> contre les </w:t>
      </w:r>
      <w:r w:rsidR="00501F0D">
        <w:rPr>
          <w:bCs/>
          <w:color w:val="000000"/>
          <w:sz w:val="12"/>
          <w:szCs w:val="12"/>
        </w:rPr>
        <w:t>Indemnitaires</w:t>
      </w:r>
      <w:r w:rsidR="00B55ADC" w:rsidRPr="003F6A1B">
        <w:rPr>
          <w:bCs/>
          <w:color w:val="000000"/>
          <w:sz w:val="12"/>
          <w:szCs w:val="12"/>
        </w:rPr>
        <w:t xml:space="preserve"> ou l’un d’e</w:t>
      </w:r>
      <w:r w:rsidR="008A6565">
        <w:rPr>
          <w:bCs/>
          <w:color w:val="000000"/>
          <w:sz w:val="12"/>
          <w:szCs w:val="12"/>
        </w:rPr>
        <w:t>ux</w:t>
      </w:r>
      <w:r w:rsidR="00B55ADC" w:rsidRPr="003F6A1B">
        <w:rPr>
          <w:bCs/>
          <w:color w:val="000000"/>
          <w:sz w:val="12"/>
          <w:szCs w:val="12"/>
        </w:rPr>
        <w:t xml:space="preserve">, liés </w:t>
      </w:r>
      <w:r w:rsidR="008A6565">
        <w:rPr>
          <w:bCs/>
          <w:color w:val="000000"/>
          <w:sz w:val="12"/>
          <w:szCs w:val="12"/>
        </w:rPr>
        <w:t xml:space="preserve">à ce qui suit </w:t>
      </w:r>
      <w:r w:rsidR="00B55ADC" w:rsidRPr="003F6A1B">
        <w:rPr>
          <w:bCs/>
          <w:color w:val="000000"/>
          <w:sz w:val="12"/>
          <w:szCs w:val="12"/>
        </w:rPr>
        <w:t>ou découlant</w:t>
      </w:r>
      <w:r w:rsidR="008A6565">
        <w:rPr>
          <w:bCs/>
          <w:color w:val="000000"/>
          <w:sz w:val="12"/>
          <w:szCs w:val="12"/>
        </w:rPr>
        <w:t xml:space="preserve"> de ce qui suit</w:t>
      </w:r>
      <w:r w:rsidR="00B55ADC" w:rsidRPr="003F6A1B">
        <w:rPr>
          <w:bCs/>
          <w:color w:val="000000"/>
          <w:sz w:val="12"/>
          <w:szCs w:val="12"/>
        </w:rPr>
        <w:t xml:space="preserve"> : a) une violation par 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3F6A1B">
        <w:rPr>
          <w:bCs/>
          <w:color w:val="000000"/>
          <w:sz w:val="12"/>
          <w:szCs w:val="12"/>
        </w:rPr>
        <w:t xml:space="preserve"> de l’une des dispositions de la </w:t>
      </w:r>
      <w:r w:rsidR="006E7785">
        <w:rPr>
          <w:bCs/>
          <w:color w:val="000000"/>
          <w:sz w:val="12"/>
          <w:szCs w:val="12"/>
        </w:rPr>
        <w:t>Convention</w:t>
      </w:r>
      <w:r w:rsidR="00B55ADC" w:rsidRPr="003F6A1B">
        <w:rPr>
          <w:bCs/>
          <w:color w:val="000000"/>
          <w:sz w:val="12"/>
          <w:szCs w:val="12"/>
        </w:rPr>
        <w:t xml:space="preserve"> ou un défaut par 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3F6A1B">
        <w:rPr>
          <w:bCs/>
          <w:color w:val="000000"/>
          <w:sz w:val="12"/>
          <w:szCs w:val="12"/>
        </w:rPr>
        <w:t xml:space="preserve"> aux termes de celles-ci; </w:t>
      </w:r>
      <w:r w:rsidR="008A6565">
        <w:rPr>
          <w:bCs/>
          <w:color w:val="000000"/>
          <w:sz w:val="12"/>
          <w:szCs w:val="12"/>
        </w:rPr>
        <w:t xml:space="preserve">b) </w:t>
      </w:r>
      <w:r w:rsidR="00B55ADC" w:rsidRPr="003F6A1B">
        <w:rPr>
          <w:bCs/>
          <w:color w:val="000000"/>
          <w:sz w:val="12"/>
          <w:szCs w:val="12"/>
        </w:rPr>
        <w:t xml:space="preserve">la négligence ou l’inconduite </w:t>
      </w:r>
      <w:r w:rsidR="0022096F">
        <w:rPr>
          <w:bCs/>
          <w:color w:val="000000"/>
          <w:sz w:val="12"/>
          <w:szCs w:val="12"/>
        </w:rPr>
        <w:t>volontair</w:t>
      </w:r>
      <w:r w:rsidR="00B55ADC" w:rsidRPr="003F6A1B">
        <w:rPr>
          <w:bCs/>
          <w:color w:val="000000"/>
          <w:sz w:val="12"/>
          <w:szCs w:val="12"/>
        </w:rPr>
        <w:t xml:space="preserve">e du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3F6A1B">
        <w:rPr>
          <w:bCs/>
          <w:color w:val="000000"/>
          <w:sz w:val="12"/>
          <w:szCs w:val="12"/>
        </w:rPr>
        <w:t xml:space="preserve"> ou des </w:t>
      </w:r>
      <w:r w:rsidR="00CE4FA4">
        <w:rPr>
          <w:bCs/>
          <w:color w:val="000000"/>
          <w:sz w:val="12"/>
          <w:szCs w:val="12"/>
        </w:rPr>
        <w:t>Représentants</w:t>
      </w:r>
      <w:r w:rsidR="00B55ADC" w:rsidRPr="003F6A1B">
        <w:rPr>
          <w:bCs/>
          <w:color w:val="000000"/>
          <w:sz w:val="12"/>
          <w:szCs w:val="12"/>
        </w:rPr>
        <w:t xml:space="preserve">; c) </w:t>
      </w:r>
      <w:r w:rsidR="00AC3A3F">
        <w:rPr>
          <w:bCs/>
          <w:color w:val="000000"/>
          <w:sz w:val="12"/>
          <w:szCs w:val="12"/>
        </w:rPr>
        <w:t>une</w:t>
      </w:r>
      <w:r w:rsidR="00B55ADC" w:rsidRPr="003F6A1B">
        <w:rPr>
          <w:bCs/>
          <w:color w:val="000000"/>
          <w:sz w:val="12"/>
          <w:szCs w:val="12"/>
        </w:rPr>
        <w:t xml:space="preserve"> blessure </w:t>
      </w:r>
      <w:r w:rsidR="00F41D37">
        <w:rPr>
          <w:bCs/>
          <w:color w:val="000000"/>
          <w:sz w:val="12"/>
          <w:szCs w:val="12"/>
        </w:rPr>
        <w:t xml:space="preserve">à </w:t>
      </w:r>
      <w:r w:rsidR="00B55ADC" w:rsidRPr="003F6A1B">
        <w:rPr>
          <w:bCs/>
          <w:color w:val="000000"/>
          <w:sz w:val="12"/>
          <w:szCs w:val="12"/>
        </w:rPr>
        <w:t xml:space="preserve">un représentant du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3F6A1B">
        <w:rPr>
          <w:bCs/>
          <w:color w:val="000000"/>
          <w:sz w:val="12"/>
          <w:szCs w:val="12"/>
        </w:rPr>
        <w:t xml:space="preserve"> </w:t>
      </w:r>
      <w:r w:rsidR="00F41D37">
        <w:rPr>
          <w:bCs/>
          <w:color w:val="000000"/>
          <w:sz w:val="12"/>
          <w:szCs w:val="12"/>
        </w:rPr>
        <w:t xml:space="preserve">ou son décès </w:t>
      </w:r>
      <w:r w:rsidR="00B55ADC" w:rsidRPr="003F6A1B">
        <w:rPr>
          <w:bCs/>
          <w:color w:val="000000"/>
          <w:sz w:val="12"/>
          <w:szCs w:val="12"/>
        </w:rPr>
        <w:t xml:space="preserve">(et à cette fin, le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3F6A1B">
        <w:rPr>
          <w:bCs/>
          <w:color w:val="000000"/>
          <w:sz w:val="12"/>
          <w:szCs w:val="12"/>
        </w:rPr>
        <w:t xml:space="preserve"> renonce expressément à toute immunité ou protection qu’il peut avoir à l’égard d’une poursuite intentée par ses propres employés) ou </w:t>
      </w:r>
      <w:r w:rsidR="00EB6514">
        <w:rPr>
          <w:bCs/>
          <w:color w:val="000000"/>
          <w:sz w:val="12"/>
          <w:szCs w:val="12"/>
        </w:rPr>
        <w:t xml:space="preserve">un dommage à des </w:t>
      </w:r>
      <w:r w:rsidR="00CE4FA4">
        <w:rPr>
          <w:bCs/>
          <w:color w:val="000000"/>
          <w:sz w:val="12"/>
          <w:szCs w:val="12"/>
        </w:rPr>
        <w:t>Biens</w:t>
      </w:r>
      <w:r w:rsidR="00EB6514">
        <w:rPr>
          <w:bCs/>
          <w:color w:val="000000"/>
          <w:sz w:val="12"/>
          <w:szCs w:val="12"/>
        </w:rPr>
        <w:t xml:space="preserve"> ou </w:t>
      </w:r>
      <w:r w:rsidR="00B55ADC" w:rsidRPr="003F6A1B">
        <w:rPr>
          <w:bCs/>
          <w:color w:val="000000"/>
          <w:sz w:val="12"/>
          <w:szCs w:val="12"/>
        </w:rPr>
        <w:t xml:space="preserve">la destruction de </w:t>
      </w:r>
      <w:r w:rsidR="00CE4FA4">
        <w:rPr>
          <w:bCs/>
          <w:color w:val="000000"/>
          <w:sz w:val="12"/>
          <w:szCs w:val="12"/>
        </w:rPr>
        <w:t>Biens</w:t>
      </w:r>
      <w:r w:rsidR="00B55ADC" w:rsidRPr="003F6A1B">
        <w:rPr>
          <w:bCs/>
          <w:color w:val="000000"/>
          <w:sz w:val="12"/>
          <w:szCs w:val="12"/>
        </w:rPr>
        <w:t xml:space="preserve"> appartenant au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3F6A1B">
        <w:rPr>
          <w:bCs/>
          <w:color w:val="000000"/>
          <w:sz w:val="12"/>
          <w:szCs w:val="12"/>
        </w:rPr>
        <w:t xml:space="preserve"> ou </w:t>
      </w:r>
      <w:r w:rsidR="00EB6514">
        <w:rPr>
          <w:bCs/>
          <w:color w:val="000000"/>
          <w:sz w:val="12"/>
          <w:szCs w:val="12"/>
        </w:rPr>
        <w:t>aux</w:t>
      </w:r>
      <w:r w:rsidR="00B55ADC" w:rsidRPr="003F6A1B">
        <w:rPr>
          <w:bCs/>
          <w:color w:val="000000"/>
          <w:sz w:val="12"/>
          <w:szCs w:val="12"/>
        </w:rPr>
        <w:t xml:space="preserve"> </w:t>
      </w:r>
      <w:r w:rsidR="00CE4FA4">
        <w:rPr>
          <w:bCs/>
          <w:color w:val="000000"/>
          <w:sz w:val="12"/>
          <w:szCs w:val="12"/>
        </w:rPr>
        <w:t>Représentants</w:t>
      </w:r>
      <w:r w:rsidR="00B55ADC" w:rsidRPr="003F6A1B">
        <w:rPr>
          <w:bCs/>
          <w:color w:val="000000"/>
          <w:sz w:val="12"/>
          <w:szCs w:val="12"/>
        </w:rPr>
        <w:t xml:space="preserve">, en </w:t>
      </w:r>
      <w:r w:rsidR="00EB6514">
        <w:rPr>
          <w:bCs/>
          <w:color w:val="000000"/>
          <w:sz w:val="12"/>
          <w:szCs w:val="12"/>
        </w:rPr>
        <w:t>l</w:t>
      </w:r>
      <w:r w:rsidR="00B55ADC" w:rsidRPr="003F6A1B">
        <w:rPr>
          <w:bCs/>
          <w:color w:val="000000"/>
          <w:sz w:val="12"/>
          <w:szCs w:val="12"/>
        </w:rPr>
        <w:t xml:space="preserve">a possession ou sous le contrôle du </w:t>
      </w:r>
      <w:r w:rsidR="00CE4FA4">
        <w:rPr>
          <w:bCs/>
          <w:color w:val="000000"/>
          <w:sz w:val="12"/>
          <w:szCs w:val="12"/>
        </w:rPr>
        <w:t>Fournisseur</w:t>
      </w:r>
      <w:r w:rsidR="00B55ADC" w:rsidRPr="003F6A1B">
        <w:rPr>
          <w:bCs/>
          <w:color w:val="000000"/>
          <w:sz w:val="12"/>
          <w:szCs w:val="12"/>
        </w:rPr>
        <w:t>, sauf dans la mesure où cette blessure, ce décès, ce dommage ou cette destruction découle de la négligence grave</w:t>
      </w:r>
      <w:r w:rsidR="0022096F">
        <w:rPr>
          <w:bCs/>
          <w:color w:val="000000"/>
          <w:sz w:val="12"/>
          <w:szCs w:val="12"/>
        </w:rPr>
        <w:t>, de la faute lourde</w:t>
      </w:r>
      <w:r w:rsidR="00B55ADC" w:rsidRPr="003F6A1B">
        <w:rPr>
          <w:bCs/>
          <w:color w:val="000000"/>
          <w:sz w:val="12"/>
          <w:szCs w:val="12"/>
        </w:rPr>
        <w:t xml:space="preserve"> ou de l’inconduite volontaire de l’indemnitaire; et d) toute réclamation selon laquelle </w:t>
      </w:r>
      <w:r w:rsidR="009B3B18">
        <w:rPr>
          <w:bCs/>
          <w:color w:val="000000"/>
          <w:sz w:val="12"/>
          <w:szCs w:val="12"/>
        </w:rPr>
        <w:t>des</w:t>
      </w:r>
      <w:r w:rsidR="00B55ADC" w:rsidRPr="003F6A1B">
        <w:rPr>
          <w:bCs/>
          <w:color w:val="000000"/>
          <w:sz w:val="12"/>
          <w:szCs w:val="12"/>
        </w:rPr>
        <w:t xml:space="preserve"> </w:t>
      </w:r>
      <w:r w:rsidR="00CE4FA4">
        <w:rPr>
          <w:bCs/>
          <w:color w:val="000000"/>
          <w:sz w:val="12"/>
          <w:szCs w:val="12"/>
        </w:rPr>
        <w:t xml:space="preserve">Biens/Services </w:t>
      </w:r>
      <w:r w:rsidR="00285D57">
        <w:rPr>
          <w:bCs/>
          <w:color w:val="000000"/>
          <w:sz w:val="12"/>
          <w:szCs w:val="12"/>
        </w:rPr>
        <w:t>contrefont</w:t>
      </w:r>
      <w:r w:rsidR="00B55ADC" w:rsidRPr="003F6A1B">
        <w:rPr>
          <w:bCs/>
          <w:color w:val="000000"/>
          <w:sz w:val="12"/>
          <w:szCs w:val="12"/>
        </w:rPr>
        <w:t xml:space="preserve"> ou viole</w:t>
      </w:r>
      <w:r w:rsidR="00285D57">
        <w:rPr>
          <w:bCs/>
          <w:color w:val="000000"/>
          <w:sz w:val="12"/>
          <w:szCs w:val="12"/>
        </w:rPr>
        <w:t>nt l</w:t>
      </w:r>
      <w:r w:rsidR="00B55ADC" w:rsidRPr="003F6A1B">
        <w:rPr>
          <w:bCs/>
          <w:color w:val="000000"/>
          <w:sz w:val="12"/>
          <w:szCs w:val="12"/>
        </w:rPr>
        <w:t xml:space="preserve">a propriété intellectuelle ou </w:t>
      </w:r>
      <w:r w:rsidR="00285D57">
        <w:rPr>
          <w:bCs/>
          <w:color w:val="000000"/>
          <w:sz w:val="12"/>
          <w:szCs w:val="12"/>
        </w:rPr>
        <w:t>d’</w:t>
      </w:r>
      <w:r w:rsidR="00B55ADC" w:rsidRPr="003F6A1B">
        <w:rPr>
          <w:bCs/>
          <w:color w:val="000000"/>
          <w:sz w:val="12"/>
          <w:szCs w:val="12"/>
        </w:rPr>
        <w:t>autres droits d’une personne. Les dispositions d</w:t>
      </w:r>
      <w:r w:rsidR="00285D57">
        <w:rPr>
          <w:bCs/>
          <w:color w:val="000000"/>
          <w:sz w:val="12"/>
          <w:szCs w:val="12"/>
        </w:rPr>
        <w:t>e la</w:t>
      </w:r>
      <w:r w:rsidR="00B55ADC" w:rsidRPr="003F6A1B">
        <w:rPr>
          <w:bCs/>
          <w:color w:val="000000"/>
          <w:sz w:val="12"/>
          <w:szCs w:val="12"/>
        </w:rPr>
        <w:t xml:space="preserve"> présent</w:t>
      </w:r>
      <w:r w:rsidR="00285D57">
        <w:rPr>
          <w:bCs/>
          <w:color w:val="000000"/>
          <w:sz w:val="12"/>
          <w:szCs w:val="12"/>
        </w:rPr>
        <w:t>e clause</w:t>
      </w:r>
      <w:r w:rsidR="00B55ADC" w:rsidRPr="003F6A1B">
        <w:rPr>
          <w:bCs/>
          <w:color w:val="000000"/>
          <w:sz w:val="12"/>
          <w:szCs w:val="12"/>
        </w:rPr>
        <w:t xml:space="preserve"> </w:t>
      </w:r>
      <w:r w:rsidR="00984B88">
        <w:rPr>
          <w:bCs/>
          <w:color w:val="000000"/>
          <w:sz w:val="12"/>
          <w:szCs w:val="12"/>
        </w:rPr>
        <w:t>demeurent en vigueur</w:t>
      </w:r>
      <w:r w:rsidR="00B55ADC" w:rsidRPr="003F6A1B">
        <w:rPr>
          <w:bCs/>
          <w:color w:val="000000"/>
          <w:sz w:val="12"/>
          <w:szCs w:val="12"/>
        </w:rPr>
        <w:t xml:space="preserve"> après l’expiration ou la résiliation anticipée de la </w:t>
      </w:r>
      <w:r w:rsidR="006E7785">
        <w:rPr>
          <w:bCs/>
          <w:color w:val="000000"/>
          <w:sz w:val="12"/>
          <w:szCs w:val="12"/>
        </w:rPr>
        <w:t>Convention</w:t>
      </w:r>
      <w:r w:rsidR="00B55ADC" w:rsidRPr="003F6A1B">
        <w:rPr>
          <w:bCs/>
          <w:color w:val="000000"/>
          <w:sz w:val="12"/>
          <w:szCs w:val="12"/>
        </w:rPr>
        <w:t xml:space="preserve"> et s’ajoutent à tout autre droit ou recours qu’Interfor peut avoir, que ce soit en droit ou en </w:t>
      </w:r>
      <w:r w:rsidR="00E73E2A">
        <w:rPr>
          <w:bCs/>
          <w:color w:val="000000"/>
          <w:sz w:val="12"/>
          <w:szCs w:val="12"/>
        </w:rPr>
        <w:t>équité</w:t>
      </w:r>
      <w:r w:rsidR="00B55ADC" w:rsidRPr="003F6A1B">
        <w:rPr>
          <w:bCs/>
          <w:color w:val="000000"/>
          <w:sz w:val="12"/>
          <w:szCs w:val="12"/>
        </w:rPr>
        <w:t>.</w:t>
      </w:r>
    </w:p>
    <w:p w14:paraId="1EE6D92C" w14:textId="752F1688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 xml:space="preserve">DROIT DE </w:t>
      </w:r>
      <w:r w:rsidR="003974D6">
        <w:rPr>
          <w:b/>
          <w:color w:val="000000"/>
          <w:sz w:val="12"/>
          <w:szCs w:val="12"/>
        </w:rPr>
        <w:t>COMPENS</w:t>
      </w:r>
      <w:r w:rsidRPr="00B55ADC">
        <w:rPr>
          <w:b/>
          <w:color w:val="000000"/>
          <w:sz w:val="12"/>
          <w:szCs w:val="12"/>
        </w:rPr>
        <w:t>ATION</w:t>
      </w:r>
      <w:r w:rsidRPr="00B55ADC">
        <w:rPr>
          <w:color w:val="000000"/>
          <w:sz w:val="12"/>
          <w:szCs w:val="12"/>
        </w:rPr>
        <w:t xml:space="preserve">. Interfor a </w:t>
      </w:r>
      <w:r w:rsidR="00040063">
        <w:rPr>
          <w:color w:val="000000"/>
          <w:sz w:val="12"/>
          <w:szCs w:val="12"/>
        </w:rPr>
        <w:t xml:space="preserve">le </w:t>
      </w:r>
      <w:r w:rsidRPr="00B55ADC">
        <w:rPr>
          <w:color w:val="000000"/>
          <w:sz w:val="12"/>
          <w:szCs w:val="12"/>
        </w:rPr>
        <w:t xml:space="preserve">droit </w:t>
      </w:r>
      <w:r w:rsidR="00482AA6">
        <w:rPr>
          <w:color w:val="000000"/>
          <w:sz w:val="12"/>
          <w:szCs w:val="12"/>
        </w:rPr>
        <w:t>d’opérer</w:t>
      </w:r>
      <w:r w:rsidRPr="00B55ADC">
        <w:rPr>
          <w:color w:val="000000"/>
          <w:sz w:val="12"/>
          <w:szCs w:val="12"/>
        </w:rPr>
        <w:t xml:space="preserve"> compensation </w:t>
      </w:r>
      <w:r w:rsidR="00FE4E60">
        <w:rPr>
          <w:color w:val="000000"/>
          <w:sz w:val="12"/>
          <w:szCs w:val="12"/>
        </w:rPr>
        <w:t xml:space="preserve">à l’encontre </w:t>
      </w:r>
      <w:r w:rsidRPr="00B55ADC">
        <w:rPr>
          <w:color w:val="000000"/>
          <w:sz w:val="12"/>
          <w:szCs w:val="12"/>
        </w:rPr>
        <w:t xml:space="preserve">et </w:t>
      </w:r>
      <w:r w:rsidR="00FE4E60">
        <w:rPr>
          <w:color w:val="000000"/>
          <w:sz w:val="12"/>
          <w:szCs w:val="12"/>
        </w:rPr>
        <w:t>de déduire de</w:t>
      </w:r>
      <w:r w:rsidRPr="00B55ADC">
        <w:rPr>
          <w:color w:val="000000"/>
          <w:sz w:val="12"/>
          <w:szCs w:val="12"/>
        </w:rPr>
        <w:t xml:space="preserve"> tout paiement dû au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, </w:t>
      </w:r>
      <w:r w:rsidR="00EA47AE">
        <w:rPr>
          <w:color w:val="000000"/>
          <w:sz w:val="12"/>
          <w:szCs w:val="12"/>
        </w:rPr>
        <w:t>le</w:t>
      </w:r>
      <w:r w:rsidRPr="00B55ADC">
        <w:rPr>
          <w:color w:val="000000"/>
          <w:sz w:val="12"/>
          <w:szCs w:val="12"/>
        </w:rPr>
        <w:t xml:space="preserve"> montant de toute demande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indemnité qui </w:t>
      </w:r>
      <w:r w:rsidR="00DF3CE2">
        <w:rPr>
          <w:color w:val="000000"/>
          <w:sz w:val="12"/>
          <w:szCs w:val="12"/>
        </w:rPr>
        <w:t xml:space="preserve">est </w:t>
      </w:r>
      <w:r w:rsidRPr="00B55ADC">
        <w:rPr>
          <w:color w:val="000000"/>
          <w:sz w:val="12"/>
          <w:szCs w:val="12"/>
        </w:rPr>
        <w:t>présentée ou est raisonnablement susceptible d</w:t>
      </w:r>
      <w:r w:rsidR="00715644">
        <w:rPr>
          <w:color w:val="000000"/>
          <w:sz w:val="12"/>
          <w:szCs w:val="12"/>
        </w:rPr>
        <w:t>’être présentée</w:t>
      </w:r>
      <w:r w:rsidRPr="00B55ADC">
        <w:rPr>
          <w:color w:val="000000"/>
          <w:sz w:val="12"/>
          <w:szCs w:val="12"/>
        </w:rPr>
        <w:t xml:space="preserve"> aux termes de la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. Interfor a également le droit de retenir tout paiement se rapportant à la partie des </w:t>
      </w:r>
      <w:r w:rsidR="00CE4FA4">
        <w:rPr>
          <w:color w:val="000000"/>
          <w:sz w:val="12"/>
          <w:szCs w:val="12"/>
        </w:rPr>
        <w:t>Biens</w:t>
      </w:r>
      <w:r w:rsidRPr="00B55ADC">
        <w:rPr>
          <w:color w:val="000000"/>
          <w:sz w:val="12"/>
          <w:szCs w:val="12"/>
        </w:rPr>
        <w:t xml:space="preserve"> qui n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a pas été fournie par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conformément aux modalités de la présente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 jusqu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à ce que le différend soit réglé.</w:t>
      </w:r>
    </w:p>
    <w:p w14:paraId="6702DD2D" w14:textId="06D5F67C" w:rsidR="00B55ADC" w:rsidRPr="00B55ADC" w:rsidRDefault="003F6A1B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pacing w:val="-1"/>
          <w:sz w:val="12"/>
          <w:szCs w:val="12"/>
        </w:rPr>
        <w:t>LIMITATION DE LA RESPONSABILIT</w:t>
      </w:r>
      <w:r>
        <w:rPr>
          <w:b/>
          <w:color w:val="000000"/>
          <w:spacing w:val="-1"/>
          <w:sz w:val="12"/>
          <w:szCs w:val="12"/>
        </w:rPr>
        <w:t>É.</w:t>
      </w:r>
      <w:r w:rsidRPr="00B55ADC">
        <w:rPr>
          <w:color w:val="000000"/>
          <w:spacing w:val="-1"/>
          <w:sz w:val="12"/>
          <w:szCs w:val="12"/>
        </w:rPr>
        <w:t xml:space="preserve"> </w:t>
      </w:r>
      <w:r w:rsidR="00B55ADC" w:rsidRPr="00B55ADC">
        <w:rPr>
          <w:color w:val="000000"/>
          <w:spacing w:val="-1"/>
          <w:sz w:val="12"/>
          <w:szCs w:val="12"/>
        </w:rPr>
        <w:t>EN AUCUN CAS, L</w:t>
      </w:r>
      <w:r w:rsidR="00B55ADC">
        <w:rPr>
          <w:color w:val="000000"/>
          <w:spacing w:val="-1"/>
          <w:sz w:val="12"/>
          <w:szCs w:val="12"/>
        </w:rPr>
        <w:t>’</w:t>
      </w:r>
      <w:r w:rsidR="00B55ADC" w:rsidRPr="00B55ADC">
        <w:rPr>
          <w:color w:val="000000"/>
          <w:spacing w:val="-1"/>
          <w:sz w:val="12"/>
          <w:szCs w:val="12"/>
        </w:rPr>
        <w:t>UNE OU L</w:t>
      </w:r>
      <w:r w:rsidR="00B55ADC">
        <w:rPr>
          <w:color w:val="000000"/>
          <w:spacing w:val="-1"/>
          <w:sz w:val="12"/>
          <w:szCs w:val="12"/>
        </w:rPr>
        <w:t>’</w:t>
      </w:r>
      <w:r w:rsidR="00B55ADC" w:rsidRPr="00B55ADC">
        <w:rPr>
          <w:color w:val="000000"/>
          <w:spacing w:val="-1"/>
          <w:sz w:val="12"/>
          <w:szCs w:val="12"/>
        </w:rPr>
        <w:t>AUTRE PARTIE N</w:t>
      </w:r>
      <w:r w:rsidR="00BD303D">
        <w:rPr>
          <w:color w:val="000000"/>
          <w:spacing w:val="-1"/>
          <w:sz w:val="12"/>
          <w:szCs w:val="12"/>
        </w:rPr>
        <w:t xml:space="preserve">E PEUT </w:t>
      </w:r>
      <w:r w:rsidR="00195C9A">
        <w:rPr>
          <w:color w:val="000000"/>
          <w:spacing w:val="-1"/>
          <w:sz w:val="12"/>
          <w:szCs w:val="12"/>
        </w:rPr>
        <w:t>Ê</w:t>
      </w:r>
      <w:r w:rsidR="00BD303D">
        <w:rPr>
          <w:color w:val="000000"/>
          <w:spacing w:val="-1"/>
          <w:sz w:val="12"/>
          <w:szCs w:val="12"/>
        </w:rPr>
        <w:t>TRE</w:t>
      </w:r>
      <w:r w:rsidR="00B55ADC" w:rsidRPr="00B55ADC">
        <w:rPr>
          <w:color w:val="000000"/>
          <w:spacing w:val="-1"/>
          <w:sz w:val="12"/>
          <w:szCs w:val="12"/>
        </w:rPr>
        <w:t xml:space="preserve"> TENUE RESPONSABLE DES DOMMAGES </w:t>
      </w:r>
      <w:r w:rsidR="00EB499F">
        <w:rPr>
          <w:color w:val="000000"/>
          <w:spacing w:val="-1"/>
          <w:sz w:val="12"/>
          <w:szCs w:val="12"/>
        </w:rPr>
        <w:t>INDIRECTS</w:t>
      </w:r>
      <w:r w:rsidR="00B55ADC" w:rsidRPr="00B55ADC">
        <w:rPr>
          <w:color w:val="000000"/>
          <w:spacing w:val="-1"/>
          <w:sz w:val="12"/>
          <w:szCs w:val="12"/>
        </w:rPr>
        <w:t>, SPÉCULATIFS OU PUNITIFS SUBIS PAR L</w:t>
      </w:r>
      <w:r w:rsidR="00B55ADC">
        <w:rPr>
          <w:color w:val="000000"/>
          <w:spacing w:val="-1"/>
          <w:sz w:val="12"/>
          <w:szCs w:val="12"/>
        </w:rPr>
        <w:t>’</w:t>
      </w:r>
      <w:r w:rsidR="00B55ADC" w:rsidRPr="00B55ADC">
        <w:rPr>
          <w:color w:val="000000"/>
          <w:spacing w:val="-1"/>
          <w:sz w:val="12"/>
          <w:szCs w:val="12"/>
        </w:rPr>
        <w:t>AUTRE PARTIE, SES CLIENTS OU UN AUTRE TIERS, MÊME SI L</w:t>
      </w:r>
      <w:r w:rsidR="00EB499F">
        <w:rPr>
          <w:color w:val="000000"/>
          <w:spacing w:val="-1"/>
          <w:sz w:val="12"/>
          <w:szCs w:val="12"/>
        </w:rPr>
        <w:t>A</w:t>
      </w:r>
      <w:r w:rsidR="00B55ADC" w:rsidRPr="00B55ADC">
        <w:rPr>
          <w:color w:val="000000"/>
          <w:spacing w:val="-1"/>
          <w:sz w:val="12"/>
          <w:szCs w:val="12"/>
        </w:rPr>
        <w:t xml:space="preserve"> PREMI</w:t>
      </w:r>
      <w:r w:rsidR="00EB499F">
        <w:rPr>
          <w:color w:val="000000"/>
          <w:spacing w:val="-1"/>
          <w:sz w:val="12"/>
          <w:szCs w:val="12"/>
        </w:rPr>
        <w:t>ÈRE PARTIE</w:t>
      </w:r>
      <w:r w:rsidR="00B55ADC" w:rsidRPr="00B55ADC">
        <w:rPr>
          <w:color w:val="000000"/>
          <w:spacing w:val="-1"/>
          <w:sz w:val="12"/>
          <w:szCs w:val="12"/>
        </w:rPr>
        <w:t xml:space="preserve"> A ÉTÉ INFORMÉ</w:t>
      </w:r>
      <w:r w:rsidR="00EB499F">
        <w:rPr>
          <w:color w:val="000000"/>
          <w:spacing w:val="-1"/>
          <w:sz w:val="12"/>
          <w:szCs w:val="12"/>
        </w:rPr>
        <w:t>E</w:t>
      </w:r>
      <w:r w:rsidR="00B55ADC" w:rsidRPr="00B55ADC">
        <w:rPr>
          <w:color w:val="000000"/>
          <w:spacing w:val="-1"/>
          <w:sz w:val="12"/>
          <w:szCs w:val="12"/>
        </w:rPr>
        <w:t xml:space="preserve"> DE LA POSSIBILITÉ DE CE</w:t>
      </w:r>
      <w:r w:rsidR="00EC0D30">
        <w:rPr>
          <w:color w:val="000000"/>
          <w:spacing w:val="-1"/>
          <w:sz w:val="12"/>
          <w:szCs w:val="12"/>
        </w:rPr>
        <w:t>UX-CI</w:t>
      </w:r>
      <w:r w:rsidR="00B55ADC" w:rsidRPr="00B55ADC">
        <w:rPr>
          <w:color w:val="000000"/>
          <w:spacing w:val="-1"/>
          <w:sz w:val="12"/>
          <w:szCs w:val="12"/>
        </w:rPr>
        <w:t xml:space="preserve">; sauf dans la mesure où </w:t>
      </w:r>
      <w:r w:rsidR="00EC0D30">
        <w:rPr>
          <w:color w:val="000000"/>
          <w:spacing w:val="-1"/>
          <w:sz w:val="12"/>
          <w:szCs w:val="12"/>
        </w:rPr>
        <w:t>une telle</w:t>
      </w:r>
      <w:r w:rsidR="00B55ADC" w:rsidRPr="00B55ADC">
        <w:rPr>
          <w:color w:val="000000"/>
          <w:spacing w:val="-1"/>
          <w:sz w:val="12"/>
          <w:szCs w:val="12"/>
        </w:rPr>
        <w:t xml:space="preserve"> réclamation découle des obligations d</w:t>
      </w:r>
      <w:r w:rsidR="00B55ADC">
        <w:rPr>
          <w:color w:val="000000"/>
          <w:spacing w:val="-1"/>
          <w:sz w:val="12"/>
          <w:szCs w:val="12"/>
        </w:rPr>
        <w:t>’</w:t>
      </w:r>
      <w:r w:rsidR="00B55ADC" w:rsidRPr="00B55ADC">
        <w:rPr>
          <w:color w:val="000000"/>
          <w:spacing w:val="-1"/>
          <w:sz w:val="12"/>
          <w:szCs w:val="12"/>
        </w:rPr>
        <w:t xml:space="preserve">indemnisation du </w:t>
      </w:r>
      <w:r w:rsidR="00CE4FA4">
        <w:rPr>
          <w:color w:val="000000"/>
          <w:spacing w:val="-1"/>
          <w:sz w:val="12"/>
          <w:szCs w:val="12"/>
        </w:rPr>
        <w:t>Fournisseur</w:t>
      </w:r>
      <w:r w:rsidR="00B55ADC" w:rsidRPr="00B55ADC">
        <w:rPr>
          <w:color w:val="000000"/>
          <w:spacing w:val="-1"/>
          <w:sz w:val="12"/>
          <w:szCs w:val="12"/>
        </w:rPr>
        <w:t xml:space="preserve"> aux termes de l</w:t>
      </w:r>
      <w:r w:rsidR="00A90546">
        <w:rPr>
          <w:color w:val="000000"/>
          <w:spacing w:val="-1"/>
          <w:sz w:val="12"/>
          <w:szCs w:val="12"/>
        </w:rPr>
        <w:t>a clause</w:t>
      </w:r>
      <w:r w:rsidR="00B55ADC" w:rsidRPr="00B55ADC">
        <w:rPr>
          <w:color w:val="000000"/>
          <w:spacing w:val="-1"/>
          <w:sz w:val="12"/>
          <w:szCs w:val="12"/>
        </w:rPr>
        <w:t xml:space="preserve"> </w:t>
      </w:r>
      <w:r w:rsidR="00334746">
        <w:rPr>
          <w:color w:val="000000"/>
          <w:spacing w:val="-1"/>
          <w:sz w:val="12"/>
          <w:szCs w:val="12"/>
        </w:rPr>
        <w:t>2</w:t>
      </w:r>
      <w:hyperlink w:anchor="_bookmark0" w:history="1">
        <w:r w:rsidR="00E73E2A">
          <w:rPr>
            <w:color w:val="000000"/>
            <w:sz w:val="12"/>
            <w:szCs w:val="12"/>
          </w:rPr>
          <w:t>6</w:t>
        </w:r>
      </w:hyperlink>
      <w:r w:rsidR="00B55ADC" w:rsidRPr="00B55ADC">
        <w:rPr>
          <w:color w:val="000000"/>
          <w:sz w:val="12"/>
          <w:szCs w:val="12"/>
        </w:rPr>
        <w:t xml:space="preserve"> 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égard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une réclamation de tiers, ou de la fraude, de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inconduite volontaire ou de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omission </w:t>
      </w:r>
      <w:r w:rsidR="00B55ADC" w:rsidRPr="00B55ADC">
        <w:rPr>
          <w:color w:val="000000"/>
          <w:sz w:val="12"/>
          <w:szCs w:val="12"/>
        </w:rPr>
        <w:lastRenderedPageBreak/>
        <w:t>volontaire de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une ou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autre des parties.</w:t>
      </w:r>
    </w:p>
    <w:p w14:paraId="3C4A332D" w14:textId="6DB97788" w:rsidR="00B55ADC" w:rsidRPr="00B55ADC" w:rsidRDefault="003F6A1B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3F6A1B">
        <w:rPr>
          <w:b/>
          <w:bCs/>
          <w:color w:val="000000"/>
          <w:sz w:val="12"/>
          <w:szCs w:val="12"/>
        </w:rPr>
        <w:t>ASSURANCE</w:t>
      </w:r>
      <w:bookmarkStart w:id="5" w:name="_bookmark1"/>
      <w:bookmarkEnd w:id="5"/>
      <w:r>
        <w:rPr>
          <w:color w:val="000000"/>
          <w:sz w:val="12"/>
          <w:szCs w:val="12"/>
        </w:rPr>
        <w:t>.</w:t>
      </w:r>
      <w:r w:rsidR="00B55ADC" w:rsidRPr="00B55ADC">
        <w:rPr>
          <w:color w:val="000000"/>
          <w:sz w:val="12"/>
          <w:szCs w:val="12"/>
        </w:rPr>
        <w:t xml:space="preserve"> Si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et/ou les </w:t>
      </w:r>
      <w:r w:rsidR="00CE4FA4">
        <w:rPr>
          <w:color w:val="000000"/>
          <w:sz w:val="12"/>
          <w:szCs w:val="12"/>
        </w:rPr>
        <w:t>Représentants</w:t>
      </w:r>
      <w:r w:rsidR="00B55ADC" w:rsidRPr="00B55ADC">
        <w:rPr>
          <w:color w:val="000000"/>
          <w:sz w:val="12"/>
          <w:szCs w:val="12"/>
        </w:rPr>
        <w:t xml:space="preserve"> se trouvent sur les lieux </w:t>
      </w:r>
      <w:r w:rsidR="00200BEC">
        <w:rPr>
          <w:color w:val="000000"/>
          <w:sz w:val="12"/>
          <w:szCs w:val="12"/>
        </w:rPr>
        <w:t xml:space="preserve">ou emplacements </w:t>
      </w:r>
      <w:r w:rsidR="00B55ADC" w:rsidRPr="00B55ADC">
        <w:rPr>
          <w:color w:val="000000"/>
          <w:sz w:val="12"/>
          <w:szCs w:val="12"/>
        </w:rPr>
        <w:t>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Interfor,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obtient et maintient ce qui suit pendant la durée de la </w:t>
      </w:r>
      <w:r w:rsidR="006E7785">
        <w:rPr>
          <w:color w:val="000000"/>
          <w:sz w:val="12"/>
          <w:szCs w:val="12"/>
        </w:rPr>
        <w:t>Convention</w:t>
      </w:r>
      <w:r w:rsidR="00B55ADC">
        <w:rPr>
          <w:color w:val="000000"/>
          <w:sz w:val="12"/>
          <w:szCs w:val="12"/>
        </w:rPr>
        <w:t> :</w:t>
      </w:r>
      <w:r w:rsidR="00501F0D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 xml:space="preserve">a) </w:t>
      </w:r>
      <w:r w:rsidR="008E43FF">
        <w:rPr>
          <w:color w:val="000000"/>
          <w:sz w:val="12"/>
          <w:szCs w:val="12"/>
        </w:rPr>
        <w:t xml:space="preserve">une </w:t>
      </w:r>
      <w:r w:rsidR="00B55ADC" w:rsidRPr="00B55ADC">
        <w:rPr>
          <w:color w:val="000000"/>
          <w:sz w:val="12"/>
          <w:szCs w:val="12"/>
        </w:rPr>
        <w:t xml:space="preserve">assurance </w:t>
      </w:r>
      <w:r w:rsidR="005D7EC6">
        <w:rPr>
          <w:color w:val="000000"/>
          <w:sz w:val="12"/>
          <w:szCs w:val="12"/>
        </w:rPr>
        <w:t xml:space="preserve">de la </w:t>
      </w:r>
      <w:r w:rsidR="00B55ADC" w:rsidRPr="00B55ADC">
        <w:rPr>
          <w:color w:val="000000"/>
          <w:sz w:val="12"/>
          <w:szCs w:val="12"/>
        </w:rPr>
        <w:t>responsabilité civile commerciale générale auprès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 assureur qu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 juge acceptable et dont la limite minimale est de 2 000 000 $ par sinistre couvrant tous les dommages corporels et les dommages matériels; b) </w:t>
      </w:r>
      <w:r w:rsidR="008E43FF">
        <w:rPr>
          <w:color w:val="000000"/>
          <w:sz w:val="12"/>
          <w:szCs w:val="12"/>
        </w:rPr>
        <w:t xml:space="preserve">une </w:t>
      </w:r>
      <w:r w:rsidR="00B55ADC" w:rsidRPr="00B55ADC">
        <w:rPr>
          <w:color w:val="000000"/>
          <w:sz w:val="12"/>
          <w:szCs w:val="12"/>
        </w:rPr>
        <w:t>assurance de la responsabilité civile des véhicules automobiles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une limite minimale de 2 000 000 $ par sinistre couvrant tous les véhicules immatriculés du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(détenus</w:t>
      </w:r>
      <w:r w:rsidR="004C3C93">
        <w:rPr>
          <w:color w:val="000000"/>
          <w:sz w:val="12"/>
          <w:szCs w:val="12"/>
        </w:rPr>
        <w:t xml:space="preserve"> en propriété</w:t>
      </w:r>
      <w:r w:rsidR="00B55ADC" w:rsidRPr="00B55ADC">
        <w:rPr>
          <w:color w:val="000000"/>
          <w:sz w:val="12"/>
          <w:szCs w:val="12"/>
        </w:rPr>
        <w:t xml:space="preserve">, loués, </w:t>
      </w:r>
      <w:r w:rsidR="005A7859">
        <w:rPr>
          <w:color w:val="000000"/>
          <w:sz w:val="12"/>
          <w:szCs w:val="12"/>
        </w:rPr>
        <w:t>pri</w:t>
      </w:r>
      <w:r w:rsidR="00B55ADC" w:rsidRPr="00B55ADC">
        <w:rPr>
          <w:color w:val="000000"/>
          <w:sz w:val="12"/>
          <w:szCs w:val="12"/>
        </w:rPr>
        <w:t>s</w:t>
      </w:r>
      <w:r w:rsidR="00793EC7">
        <w:rPr>
          <w:color w:val="000000"/>
          <w:sz w:val="12"/>
          <w:szCs w:val="12"/>
        </w:rPr>
        <w:t xml:space="preserve"> à bail</w:t>
      </w:r>
      <w:r w:rsidR="00B55ADC" w:rsidRPr="00B55ADC">
        <w:rPr>
          <w:color w:val="000000"/>
          <w:sz w:val="12"/>
          <w:szCs w:val="12"/>
        </w:rPr>
        <w:t xml:space="preserve"> ou empruntés) utilisés dans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exécution de la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>; c) s</w:t>
      </w:r>
      <w:r w:rsidR="00976BB3">
        <w:rPr>
          <w:color w:val="000000"/>
          <w:sz w:val="12"/>
          <w:szCs w:val="12"/>
        </w:rPr>
        <w:t>i elle s’applique à des</w:t>
      </w:r>
      <w:r w:rsidR="00B55ADC" w:rsidRPr="00B55ADC">
        <w:rPr>
          <w:color w:val="000000"/>
          <w:sz w:val="12"/>
          <w:szCs w:val="12"/>
        </w:rPr>
        <w:t xml:space="preserve"> </w:t>
      </w:r>
      <w:r w:rsidR="00CE4FA4">
        <w:rPr>
          <w:color w:val="000000"/>
          <w:sz w:val="12"/>
          <w:szCs w:val="12"/>
        </w:rPr>
        <w:t>Services</w:t>
      </w:r>
      <w:r w:rsidR="00B55ADC" w:rsidRPr="00B55ADC">
        <w:rPr>
          <w:color w:val="000000"/>
          <w:sz w:val="12"/>
          <w:szCs w:val="12"/>
        </w:rPr>
        <w:t xml:space="preserve">, </w:t>
      </w:r>
      <w:r w:rsidR="00976BB3">
        <w:rPr>
          <w:color w:val="000000"/>
          <w:sz w:val="12"/>
          <w:szCs w:val="12"/>
        </w:rPr>
        <w:t xml:space="preserve">une assurance </w:t>
      </w:r>
      <w:r w:rsidR="00B55ADC" w:rsidRPr="00B55ADC">
        <w:rPr>
          <w:color w:val="000000"/>
          <w:sz w:val="12"/>
          <w:szCs w:val="12"/>
        </w:rPr>
        <w:t>d</w:t>
      </w:r>
      <w:r w:rsidR="00EC1256">
        <w:rPr>
          <w:color w:val="000000"/>
          <w:sz w:val="12"/>
          <w:szCs w:val="12"/>
        </w:rPr>
        <w:t xml:space="preserve">e la </w:t>
      </w:r>
      <w:r w:rsidR="00DC1BFC">
        <w:rPr>
          <w:color w:val="000000"/>
          <w:sz w:val="12"/>
          <w:szCs w:val="12"/>
        </w:rPr>
        <w:t xml:space="preserve">responsabilité civile professionnelle contre les </w:t>
      </w:r>
      <w:r w:rsidR="00B55ADC" w:rsidRPr="00B55ADC">
        <w:rPr>
          <w:color w:val="000000"/>
          <w:sz w:val="12"/>
          <w:szCs w:val="12"/>
        </w:rPr>
        <w:t>erreurs et omissions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 montant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au moins 2 000 000 $ assurant la responsabilité du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découlant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erreurs et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omissions dans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exécution de </w:t>
      </w:r>
      <w:r w:rsidR="00CE4FA4">
        <w:rPr>
          <w:color w:val="000000"/>
          <w:sz w:val="12"/>
          <w:szCs w:val="12"/>
        </w:rPr>
        <w:t>Services</w:t>
      </w:r>
      <w:r w:rsidR="00B55ADC" w:rsidRPr="00B55ADC">
        <w:rPr>
          <w:color w:val="000000"/>
          <w:sz w:val="12"/>
          <w:szCs w:val="12"/>
        </w:rPr>
        <w:t xml:space="preserve"> professionnels; et d) </w:t>
      </w:r>
      <w:r w:rsidR="00976BB3">
        <w:rPr>
          <w:color w:val="000000"/>
          <w:sz w:val="12"/>
          <w:szCs w:val="12"/>
        </w:rPr>
        <w:t>une assurance qui couvre</w:t>
      </w:r>
      <w:r w:rsidR="00B55ADC" w:rsidRPr="00B55ADC">
        <w:rPr>
          <w:color w:val="000000"/>
          <w:sz w:val="12"/>
          <w:szCs w:val="12"/>
        </w:rPr>
        <w:t xml:space="preserve"> </w:t>
      </w:r>
      <w:r w:rsidR="00976BB3">
        <w:rPr>
          <w:color w:val="000000"/>
          <w:sz w:val="12"/>
          <w:szCs w:val="12"/>
        </w:rPr>
        <w:t>l</w:t>
      </w:r>
      <w:r w:rsidR="00B55ADC" w:rsidRPr="00B55ADC">
        <w:rPr>
          <w:color w:val="000000"/>
          <w:sz w:val="12"/>
          <w:szCs w:val="12"/>
        </w:rPr>
        <w:t xml:space="preserve">es </w:t>
      </w:r>
      <w:r w:rsidR="00CE4FA4">
        <w:rPr>
          <w:color w:val="000000"/>
          <w:sz w:val="12"/>
          <w:szCs w:val="12"/>
        </w:rPr>
        <w:t>Biens</w:t>
      </w:r>
      <w:r w:rsidR="00B55ADC" w:rsidRPr="00B55ADC">
        <w:rPr>
          <w:color w:val="000000"/>
          <w:sz w:val="12"/>
          <w:szCs w:val="12"/>
        </w:rPr>
        <w:t xml:space="preserve"> contre tous les risques de perte</w:t>
      </w:r>
      <w:r w:rsidR="00673308">
        <w:rPr>
          <w:color w:val="000000"/>
          <w:sz w:val="12"/>
          <w:szCs w:val="12"/>
        </w:rPr>
        <w:t>s</w:t>
      </w:r>
      <w:r w:rsidR="00B55ADC" w:rsidRPr="00B55ADC">
        <w:rPr>
          <w:color w:val="000000"/>
          <w:sz w:val="12"/>
          <w:szCs w:val="12"/>
        </w:rPr>
        <w:t xml:space="preserve"> ou de dommage</w:t>
      </w:r>
      <w:r w:rsidR="00673308">
        <w:rPr>
          <w:color w:val="000000"/>
          <w:sz w:val="12"/>
          <w:szCs w:val="12"/>
        </w:rPr>
        <w:t>s</w:t>
      </w:r>
      <w:r w:rsidR="00817B5F">
        <w:rPr>
          <w:color w:val="000000"/>
          <w:sz w:val="12"/>
          <w:szCs w:val="12"/>
        </w:rPr>
        <w:t xml:space="preserve"> matéri</w:t>
      </w:r>
      <w:r w:rsidR="00673308">
        <w:rPr>
          <w:color w:val="000000"/>
          <w:sz w:val="12"/>
          <w:szCs w:val="12"/>
        </w:rPr>
        <w:t>els</w:t>
      </w:r>
      <w:r w:rsidR="00B55ADC" w:rsidRPr="00B55ADC">
        <w:rPr>
          <w:color w:val="000000"/>
          <w:sz w:val="12"/>
          <w:szCs w:val="12"/>
        </w:rPr>
        <w:t xml:space="preserve">, pour la </w:t>
      </w:r>
      <w:r w:rsidR="00673308">
        <w:rPr>
          <w:color w:val="000000"/>
          <w:sz w:val="12"/>
          <w:szCs w:val="12"/>
        </w:rPr>
        <w:t xml:space="preserve">pleine </w:t>
      </w:r>
      <w:r w:rsidR="00B55ADC" w:rsidRPr="00B55ADC">
        <w:rPr>
          <w:color w:val="000000"/>
          <w:sz w:val="12"/>
          <w:szCs w:val="12"/>
        </w:rPr>
        <w:t xml:space="preserve">valeur de remplacement </w:t>
      </w:r>
      <w:r w:rsidR="0083287D">
        <w:rPr>
          <w:color w:val="000000"/>
          <w:sz w:val="12"/>
          <w:szCs w:val="12"/>
        </w:rPr>
        <w:t xml:space="preserve">à neuf </w:t>
      </w:r>
      <w:r w:rsidR="00B55ADC" w:rsidRPr="00B55ADC">
        <w:rPr>
          <w:color w:val="000000"/>
          <w:sz w:val="12"/>
          <w:szCs w:val="12"/>
        </w:rPr>
        <w:t>de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ensemble des machines</w:t>
      </w:r>
      <w:r w:rsidR="00721903">
        <w:rPr>
          <w:color w:val="000000"/>
          <w:sz w:val="12"/>
          <w:szCs w:val="12"/>
        </w:rPr>
        <w:t xml:space="preserve">, </w:t>
      </w:r>
      <w:r w:rsidR="00B55ADC" w:rsidRPr="00B55ADC">
        <w:rPr>
          <w:color w:val="000000"/>
          <w:sz w:val="12"/>
          <w:szCs w:val="12"/>
        </w:rPr>
        <w:t>de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équipement </w:t>
      </w:r>
      <w:r w:rsidR="00457184">
        <w:rPr>
          <w:color w:val="000000"/>
          <w:sz w:val="12"/>
          <w:szCs w:val="12"/>
        </w:rPr>
        <w:t xml:space="preserve">et du matériel </w:t>
      </w:r>
      <w:r w:rsidR="00B55ADC" w:rsidRPr="00B55ADC">
        <w:rPr>
          <w:color w:val="000000"/>
          <w:sz w:val="12"/>
          <w:szCs w:val="12"/>
        </w:rPr>
        <w:t xml:space="preserve">du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>, ou sous l</w:t>
      </w:r>
      <w:r w:rsidR="00457184">
        <w:rPr>
          <w:color w:val="000000"/>
          <w:sz w:val="12"/>
          <w:szCs w:val="12"/>
        </w:rPr>
        <w:t>e soin</w:t>
      </w:r>
      <w:r w:rsidR="00B55ADC" w:rsidRPr="00B55ADC">
        <w:rPr>
          <w:color w:val="000000"/>
          <w:sz w:val="12"/>
          <w:szCs w:val="12"/>
        </w:rPr>
        <w:t xml:space="preserve">, la garde et le contrôle du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et utilisés dans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exécution de ses obligations aux termes de la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>. Chaque police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assurance visée </w:t>
      </w:r>
      <w:r w:rsidR="007006AA">
        <w:rPr>
          <w:color w:val="000000"/>
          <w:sz w:val="12"/>
          <w:szCs w:val="12"/>
        </w:rPr>
        <w:t>à</w:t>
      </w:r>
      <w:r w:rsidR="00B55ADC" w:rsidRPr="00B55ADC">
        <w:rPr>
          <w:color w:val="000000"/>
          <w:sz w:val="12"/>
          <w:szCs w:val="12"/>
        </w:rPr>
        <w:t xml:space="preserve"> </w:t>
      </w:r>
      <w:r w:rsidR="007006AA">
        <w:rPr>
          <w:color w:val="000000"/>
          <w:sz w:val="12"/>
          <w:szCs w:val="12"/>
        </w:rPr>
        <w:t>l’</w:t>
      </w:r>
      <w:r w:rsidR="00B55ADC" w:rsidRPr="00B55ADC">
        <w:rPr>
          <w:color w:val="000000"/>
          <w:sz w:val="12"/>
          <w:szCs w:val="12"/>
        </w:rPr>
        <w:t xml:space="preserve">alinéa a) ci-dessus comprendra Interfor et ses administrateurs, dirigeants, employés, </w:t>
      </w:r>
      <w:r w:rsidR="00A41C53">
        <w:rPr>
          <w:color w:val="000000"/>
          <w:sz w:val="12"/>
          <w:szCs w:val="12"/>
        </w:rPr>
        <w:t xml:space="preserve">agents, </w:t>
      </w:r>
      <w:r w:rsidR="00B55ADC" w:rsidRPr="00B55ADC">
        <w:rPr>
          <w:color w:val="000000"/>
          <w:sz w:val="12"/>
          <w:szCs w:val="12"/>
        </w:rPr>
        <w:t>mandataires et autres entrepreneurs à titre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assuré</w:t>
      </w:r>
      <w:r w:rsidR="00034300">
        <w:rPr>
          <w:color w:val="000000"/>
          <w:sz w:val="12"/>
          <w:szCs w:val="12"/>
        </w:rPr>
        <w:t>s</w:t>
      </w:r>
      <w:r w:rsidR="00B55ADC" w:rsidRPr="00B55ADC">
        <w:rPr>
          <w:color w:val="000000"/>
          <w:sz w:val="12"/>
          <w:szCs w:val="12"/>
        </w:rPr>
        <w:t xml:space="preserve"> supplémentaire</w:t>
      </w:r>
      <w:r w:rsidR="00034300">
        <w:rPr>
          <w:color w:val="000000"/>
          <w:sz w:val="12"/>
          <w:szCs w:val="12"/>
        </w:rPr>
        <w:t>s</w:t>
      </w:r>
      <w:r w:rsidR="00B55ADC" w:rsidRPr="00B55ADC">
        <w:rPr>
          <w:color w:val="000000"/>
          <w:sz w:val="12"/>
          <w:szCs w:val="12"/>
        </w:rPr>
        <w:t xml:space="preserve"> (les </w:t>
      </w:r>
      <w:r w:rsidR="00B55ADC">
        <w:rPr>
          <w:color w:val="000000"/>
          <w:sz w:val="12"/>
          <w:szCs w:val="12"/>
        </w:rPr>
        <w:t>« </w:t>
      </w:r>
      <w:r w:rsidR="00501F0D">
        <w:rPr>
          <w:b/>
          <w:bCs/>
          <w:color w:val="000000"/>
          <w:sz w:val="12"/>
          <w:szCs w:val="12"/>
        </w:rPr>
        <w:t xml:space="preserve">Assurés supplémentaires </w:t>
      </w:r>
      <w:r w:rsidR="00B55ADC">
        <w:rPr>
          <w:color w:val="000000"/>
          <w:sz w:val="12"/>
          <w:szCs w:val="12"/>
        </w:rPr>
        <w:t>»</w:t>
      </w:r>
      <w:r w:rsidR="00B55ADC" w:rsidRPr="00B55ADC">
        <w:rPr>
          <w:color w:val="000000"/>
          <w:sz w:val="12"/>
          <w:szCs w:val="12"/>
        </w:rPr>
        <w:t>) et une renonciation aux droits de subrogation de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assureur 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égard des réclamations qu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il pourrait par ailleurs avoir contre Interfor et les assurés supplémentaires. Chaque police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assurance visée 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alinéa d) ci-dessus doit inclure Interfor à titre de bénéficiaire. Toute la garantie</w:t>
      </w:r>
      <w:r w:rsidR="002C2B3B">
        <w:rPr>
          <w:color w:val="000000"/>
          <w:sz w:val="12"/>
          <w:szCs w:val="12"/>
        </w:rPr>
        <w:t xml:space="preserve"> et couverture</w:t>
      </w:r>
      <w:r w:rsidR="00B55ADC" w:rsidRPr="00B55ADC">
        <w:rPr>
          <w:color w:val="000000"/>
          <w:sz w:val="12"/>
          <w:szCs w:val="12"/>
        </w:rPr>
        <w:t xml:space="preserve">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assurance exigée aux termes des présentes sera </w:t>
      </w:r>
      <w:r w:rsidR="003609EA">
        <w:rPr>
          <w:color w:val="000000"/>
          <w:sz w:val="12"/>
          <w:szCs w:val="12"/>
        </w:rPr>
        <w:t>en première ligne</w:t>
      </w:r>
      <w:r w:rsidR="00B55ADC" w:rsidRPr="00B55ADC">
        <w:rPr>
          <w:color w:val="000000"/>
          <w:sz w:val="12"/>
          <w:szCs w:val="12"/>
        </w:rPr>
        <w:t xml:space="preserve"> et </w:t>
      </w:r>
      <w:r w:rsidR="00527533">
        <w:rPr>
          <w:color w:val="000000"/>
          <w:sz w:val="12"/>
          <w:szCs w:val="12"/>
        </w:rPr>
        <w:t>non en excédent de</w:t>
      </w:r>
      <w:r w:rsidR="00B55ADC" w:rsidRPr="00B55ADC">
        <w:rPr>
          <w:color w:val="000000"/>
          <w:sz w:val="12"/>
          <w:szCs w:val="12"/>
        </w:rPr>
        <w:t xml:space="preserve"> quelque autre assurance ou auto</w:t>
      </w:r>
      <w:r w:rsidR="00527533">
        <w:rPr>
          <w:color w:val="000000"/>
          <w:sz w:val="12"/>
          <w:szCs w:val="12"/>
        </w:rPr>
        <w:t>-</w:t>
      </w:r>
      <w:r w:rsidR="00B55ADC" w:rsidRPr="00B55ADC">
        <w:rPr>
          <w:color w:val="000000"/>
          <w:sz w:val="12"/>
          <w:szCs w:val="12"/>
        </w:rPr>
        <w:t xml:space="preserve">assurance que détient Interfor.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est responsable de toutes les franchises. Aucune disposition d</w:t>
      </w:r>
      <w:r w:rsidR="00527533">
        <w:rPr>
          <w:color w:val="000000"/>
          <w:sz w:val="12"/>
          <w:szCs w:val="12"/>
        </w:rPr>
        <w:t>e la</w:t>
      </w:r>
      <w:r w:rsidR="00B55ADC" w:rsidRPr="00B55ADC">
        <w:rPr>
          <w:color w:val="000000"/>
          <w:sz w:val="12"/>
          <w:szCs w:val="12"/>
        </w:rPr>
        <w:t xml:space="preserve"> présent</w:t>
      </w:r>
      <w:r w:rsidR="00527533">
        <w:rPr>
          <w:color w:val="000000"/>
          <w:sz w:val="12"/>
          <w:szCs w:val="12"/>
        </w:rPr>
        <w:t>e clause</w:t>
      </w:r>
      <w:r w:rsidR="00B55ADC" w:rsidRPr="00B55ADC">
        <w:rPr>
          <w:color w:val="000000"/>
          <w:sz w:val="12"/>
          <w:szCs w:val="12"/>
        </w:rPr>
        <w:t xml:space="preserve"> </w:t>
      </w:r>
      <w:hyperlink w:anchor="_bookmark1" w:history="1">
        <w:r w:rsidR="00B55ADC" w:rsidRPr="00B55ADC">
          <w:rPr>
            <w:color w:val="000000"/>
            <w:sz w:val="12"/>
            <w:szCs w:val="12"/>
          </w:rPr>
          <w:t>2</w:t>
        </w:r>
        <w:r w:rsidR="00F92668">
          <w:rPr>
            <w:color w:val="000000"/>
            <w:sz w:val="12"/>
            <w:szCs w:val="12"/>
          </w:rPr>
          <w:t>9</w:t>
        </w:r>
        <w:r w:rsidR="00B55ADC" w:rsidRPr="00B55ADC">
          <w:rPr>
            <w:color w:val="000000"/>
            <w:sz w:val="12"/>
            <w:szCs w:val="12"/>
          </w:rPr>
          <w:t xml:space="preserve"> </w:t>
        </w:r>
      </w:hyperlink>
      <w:r w:rsidR="00B55ADC" w:rsidRPr="00B55ADC">
        <w:rPr>
          <w:color w:val="000000"/>
          <w:sz w:val="12"/>
          <w:szCs w:val="12"/>
        </w:rPr>
        <w:t>ou des polices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assurance ne réduira, ne limitera</w:t>
      </w:r>
      <w:r w:rsidR="001B7911">
        <w:rPr>
          <w:color w:val="000000"/>
          <w:sz w:val="12"/>
          <w:szCs w:val="12"/>
        </w:rPr>
        <w:t>,</w:t>
      </w:r>
      <w:r w:rsidR="00B55ADC" w:rsidRPr="00B55ADC">
        <w:rPr>
          <w:color w:val="000000"/>
          <w:sz w:val="12"/>
          <w:szCs w:val="12"/>
        </w:rPr>
        <w:t xml:space="preserve"> ni ne modifiera de quelque façon que ce soit les obligations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indemnisation du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aux termes de la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. Avant de fournir des </w:t>
      </w:r>
      <w:r w:rsidR="00CE4FA4">
        <w:rPr>
          <w:color w:val="000000"/>
          <w:sz w:val="12"/>
          <w:szCs w:val="12"/>
        </w:rPr>
        <w:t>Biens</w:t>
      </w:r>
      <w:r w:rsidR="00B55ADC" w:rsidRPr="00B55ADC">
        <w:rPr>
          <w:color w:val="000000"/>
          <w:sz w:val="12"/>
          <w:szCs w:val="12"/>
        </w:rPr>
        <w:t xml:space="preserve"> ou des </w:t>
      </w:r>
      <w:r w:rsidR="00CE4FA4">
        <w:rPr>
          <w:color w:val="000000"/>
          <w:sz w:val="12"/>
          <w:szCs w:val="12"/>
        </w:rPr>
        <w:t>Services</w:t>
      </w:r>
      <w:r w:rsidR="00B55ADC" w:rsidRPr="00B55ADC">
        <w:rPr>
          <w:color w:val="000000"/>
          <w:sz w:val="12"/>
          <w:szCs w:val="12"/>
        </w:rPr>
        <w:t xml:space="preserve"> aux termes de la présente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,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remet </w:t>
      </w:r>
      <w:r w:rsidR="00EC0C0E" w:rsidRPr="00EC0C0E">
        <w:rPr>
          <w:color w:val="000000"/>
          <w:sz w:val="12"/>
          <w:szCs w:val="12"/>
        </w:rPr>
        <w:t xml:space="preserve">à Interfor </w:t>
      </w:r>
      <w:r w:rsidR="00EC0C0E">
        <w:rPr>
          <w:color w:val="000000"/>
          <w:sz w:val="12"/>
          <w:szCs w:val="12"/>
        </w:rPr>
        <w:t xml:space="preserve">un certificat ou </w:t>
      </w:r>
      <w:r w:rsidR="00B55ADC" w:rsidRPr="00B55ADC">
        <w:rPr>
          <w:color w:val="000000"/>
          <w:sz w:val="12"/>
          <w:szCs w:val="12"/>
        </w:rPr>
        <w:t>une attestation valide de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assurance et des copies des avenants appropriés.</w:t>
      </w:r>
      <w:r w:rsidR="00EC0C0E">
        <w:rPr>
          <w:color w:val="000000"/>
          <w:sz w:val="12"/>
          <w:szCs w:val="12"/>
        </w:rPr>
        <w:t xml:space="preserve"> </w:t>
      </w:r>
    </w:p>
    <w:p w14:paraId="3E10E5FF" w14:textId="0FC606F0" w:rsidR="00B55ADC" w:rsidRPr="003F6A1B" w:rsidRDefault="00B55ADC" w:rsidP="003F6A1B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bCs/>
          <w:color w:val="000000"/>
          <w:spacing w:val="-1"/>
          <w:sz w:val="12"/>
          <w:szCs w:val="12"/>
        </w:rPr>
      </w:pPr>
      <w:r w:rsidRPr="003F6A1B">
        <w:rPr>
          <w:b/>
          <w:color w:val="000000"/>
          <w:spacing w:val="-1"/>
          <w:sz w:val="12"/>
          <w:szCs w:val="12"/>
        </w:rPr>
        <w:t>ENTREPRENEUR INDÉPENDANT</w:t>
      </w:r>
      <w:r w:rsidRPr="00F63B0F">
        <w:rPr>
          <w:bCs/>
          <w:color w:val="000000"/>
          <w:spacing w:val="-1"/>
          <w:sz w:val="12"/>
          <w:szCs w:val="12"/>
        </w:rPr>
        <w:t>.</w:t>
      </w:r>
      <w:r w:rsidRPr="003F6A1B">
        <w:rPr>
          <w:b/>
          <w:color w:val="000000"/>
          <w:spacing w:val="-1"/>
          <w:sz w:val="12"/>
          <w:szCs w:val="12"/>
        </w:rPr>
        <w:t xml:space="preserve"> </w:t>
      </w:r>
      <w:r w:rsidRPr="003F6A1B">
        <w:rPr>
          <w:bCs/>
          <w:color w:val="000000"/>
          <w:spacing w:val="-1"/>
          <w:sz w:val="12"/>
          <w:szCs w:val="12"/>
        </w:rPr>
        <w:t xml:space="preserve">À moins d’indication contraire expresse dans le </w:t>
      </w:r>
      <w:r w:rsidR="00566233">
        <w:rPr>
          <w:bCs/>
          <w:color w:val="000000"/>
          <w:spacing w:val="-1"/>
          <w:sz w:val="12"/>
          <w:szCs w:val="12"/>
        </w:rPr>
        <w:t>bon de commande</w:t>
      </w:r>
      <w:r w:rsidRPr="003F6A1B">
        <w:rPr>
          <w:bCs/>
          <w:color w:val="000000"/>
          <w:spacing w:val="-1"/>
          <w:sz w:val="12"/>
          <w:szCs w:val="12"/>
        </w:rPr>
        <w:t xml:space="preserve">, le </w:t>
      </w:r>
      <w:r w:rsidR="00CE4FA4">
        <w:rPr>
          <w:bCs/>
          <w:color w:val="000000"/>
          <w:spacing w:val="-1"/>
          <w:sz w:val="12"/>
          <w:szCs w:val="12"/>
        </w:rPr>
        <w:t>Fournisseur</w:t>
      </w:r>
      <w:r w:rsidRPr="003F6A1B">
        <w:rPr>
          <w:bCs/>
          <w:color w:val="000000"/>
          <w:spacing w:val="-1"/>
          <w:sz w:val="12"/>
          <w:szCs w:val="12"/>
        </w:rPr>
        <w:t xml:space="preserve"> est en tout temps un entrepreneur indépendant et </w:t>
      </w:r>
      <w:r w:rsidR="00D02F7C">
        <w:rPr>
          <w:bCs/>
          <w:color w:val="000000"/>
          <w:spacing w:val="-1"/>
          <w:sz w:val="12"/>
          <w:szCs w:val="12"/>
        </w:rPr>
        <w:t xml:space="preserve">en aucun cas </w:t>
      </w:r>
      <w:r w:rsidRPr="003F6A1B">
        <w:rPr>
          <w:bCs/>
          <w:color w:val="000000"/>
          <w:spacing w:val="-1"/>
          <w:sz w:val="12"/>
          <w:szCs w:val="12"/>
        </w:rPr>
        <w:t xml:space="preserve">le </w:t>
      </w:r>
      <w:r w:rsidR="00CE4FA4">
        <w:rPr>
          <w:bCs/>
          <w:color w:val="000000"/>
          <w:spacing w:val="-1"/>
          <w:sz w:val="12"/>
          <w:szCs w:val="12"/>
        </w:rPr>
        <w:t>Fournisseur</w:t>
      </w:r>
      <w:r w:rsidR="00892588">
        <w:rPr>
          <w:bCs/>
          <w:color w:val="000000"/>
          <w:spacing w:val="-1"/>
          <w:sz w:val="12"/>
          <w:szCs w:val="12"/>
        </w:rPr>
        <w:t xml:space="preserve"> et ses Représentants </w:t>
      </w:r>
      <w:r w:rsidRPr="003F6A1B">
        <w:rPr>
          <w:bCs/>
          <w:color w:val="000000"/>
          <w:spacing w:val="-1"/>
          <w:sz w:val="12"/>
          <w:szCs w:val="12"/>
        </w:rPr>
        <w:t>ne sont considérés comme des employés, préposés</w:t>
      </w:r>
      <w:r w:rsidR="00E4085C">
        <w:rPr>
          <w:bCs/>
          <w:color w:val="000000"/>
          <w:spacing w:val="-1"/>
          <w:sz w:val="12"/>
          <w:szCs w:val="12"/>
        </w:rPr>
        <w:t>, agents</w:t>
      </w:r>
      <w:r w:rsidRPr="003F6A1B">
        <w:rPr>
          <w:bCs/>
          <w:color w:val="000000"/>
          <w:spacing w:val="-1"/>
          <w:sz w:val="12"/>
          <w:szCs w:val="12"/>
        </w:rPr>
        <w:t xml:space="preserve"> ou mandataires d’Interf</w:t>
      </w:r>
      <w:r w:rsidR="00D02F7C">
        <w:rPr>
          <w:bCs/>
          <w:color w:val="000000"/>
          <w:spacing w:val="-1"/>
          <w:sz w:val="12"/>
          <w:szCs w:val="12"/>
        </w:rPr>
        <w:t>or</w:t>
      </w:r>
      <w:r w:rsidRPr="003F6A1B">
        <w:rPr>
          <w:bCs/>
          <w:color w:val="000000"/>
          <w:spacing w:val="-1"/>
          <w:sz w:val="12"/>
          <w:szCs w:val="12"/>
        </w:rPr>
        <w:t xml:space="preserve">. Le </w:t>
      </w:r>
      <w:r w:rsidR="00CE4FA4">
        <w:rPr>
          <w:bCs/>
          <w:color w:val="000000"/>
          <w:spacing w:val="-1"/>
          <w:sz w:val="12"/>
          <w:szCs w:val="12"/>
        </w:rPr>
        <w:t>Fournisseur</w:t>
      </w:r>
      <w:r w:rsidRPr="003F6A1B">
        <w:rPr>
          <w:bCs/>
          <w:color w:val="000000"/>
          <w:spacing w:val="-1"/>
          <w:sz w:val="12"/>
          <w:szCs w:val="12"/>
        </w:rPr>
        <w:t xml:space="preserve"> conserve le contrôle et la direction de la manière et de la méthode de prestation des </w:t>
      </w:r>
      <w:r w:rsidR="00CE4FA4">
        <w:rPr>
          <w:bCs/>
          <w:color w:val="000000"/>
          <w:spacing w:val="-1"/>
          <w:sz w:val="12"/>
          <w:szCs w:val="12"/>
        </w:rPr>
        <w:t>Services</w:t>
      </w:r>
      <w:r w:rsidRPr="003F6A1B">
        <w:rPr>
          <w:bCs/>
          <w:color w:val="000000"/>
          <w:spacing w:val="-1"/>
          <w:sz w:val="12"/>
          <w:szCs w:val="12"/>
        </w:rPr>
        <w:t xml:space="preserve"> aux termes de la présente </w:t>
      </w:r>
      <w:r w:rsidR="006E7785">
        <w:rPr>
          <w:bCs/>
          <w:color w:val="000000"/>
          <w:spacing w:val="-1"/>
          <w:sz w:val="12"/>
          <w:szCs w:val="12"/>
        </w:rPr>
        <w:t>Convention</w:t>
      </w:r>
      <w:r w:rsidRPr="003F6A1B">
        <w:rPr>
          <w:bCs/>
          <w:color w:val="000000"/>
          <w:spacing w:val="-1"/>
          <w:sz w:val="12"/>
          <w:szCs w:val="12"/>
        </w:rPr>
        <w:t xml:space="preserve">, contrôle et dirige tous les </w:t>
      </w:r>
      <w:r w:rsidR="00CE4FA4">
        <w:rPr>
          <w:bCs/>
          <w:color w:val="000000"/>
          <w:spacing w:val="-1"/>
          <w:sz w:val="12"/>
          <w:szCs w:val="12"/>
        </w:rPr>
        <w:t>Services</w:t>
      </w:r>
      <w:r w:rsidRPr="003F6A1B">
        <w:rPr>
          <w:bCs/>
          <w:color w:val="000000"/>
          <w:spacing w:val="-1"/>
          <w:sz w:val="12"/>
          <w:szCs w:val="12"/>
        </w:rPr>
        <w:t xml:space="preserve"> en son propre nom et non au nom d’Interfor </w:t>
      </w:r>
      <w:bookmarkStart w:id="6" w:name="_Hlk94346840"/>
      <w:r w:rsidRPr="003F6A1B">
        <w:rPr>
          <w:bCs/>
          <w:color w:val="000000"/>
          <w:spacing w:val="-1"/>
          <w:sz w:val="12"/>
          <w:szCs w:val="12"/>
        </w:rPr>
        <w:t xml:space="preserve">ou d’un membre du groupe d’Interfor </w:t>
      </w:r>
      <w:bookmarkEnd w:id="6"/>
      <w:r w:rsidRPr="003F6A1B">
        <w:rPr>
          <w:bCs/>
          <w:color w:val="000000"/>
          <w:spacing w:val="-1"/>
          <w:sz w:val="12"/>
          <w:szCs w:val="12"/>
        </w:rPr>
        <w:t>ou en qualité</w:t>
      </w:r>
      <w:r w:rsidR="004E5A88">
        <w:rPr>
          <w:bCs/>
          <w:color w:val="000000"/>
          <w:spacing w:val="-1"/>
          <w:sz w:val="12"/>
          <w:szCs w:val="12"/>
        </w:rPr>
        <w:t xml:space="preserve"> d’agent ou</w:t>
      </w:r>
      <w:r w:rsidRPr="003F6A1B">
        <w:rPr>
          <w:bCs/>
          <w:color w:val="000000"/>
          <w:spacing w:val="-1"/>
          <w:sz w:val="12"/>
          <w:szCs w:val="12"/>
        </w:rPr>
        <w:t xml:space="preserve"> de mandataire d’Interfor</w:t>
      </w:r>
      <w:r w:rsidR="004E5A88" w:rsidRPr="004E5A88">
        <w:rPr>
          <w:rFonts w:ascii="Times New Roman" w:eastAsiaTheme="minorHAnsi" w:hAnsi="Times New Roman" w:cs="Times New Roman"/>
          <w:bCs/>
          <w:color w:val="000000"/>
          <w:spacing w:val="-1"/>
          <w:sz w:val="12"/>
          <w:szCs w:val="12"/>
        </w:rPr>
        <w:t xml:space="preserve"> </w:t>
      </w:r>
      <w:r w:rsidR="004E5A88" w:rsidRPr="004E5A88">
        <w:rPr>
          <w:bCs/>
          <w:color w:val="000000"/>
          <w:spacing w:val="-1"/>
          <w:sz w:val="12"/>
          <w:szCs w:val="12"/>
        </w:rPr>
        <w:t>ou d’un membre du groupe d’Interfor</w:t>
      </w:r>
      <w:r w:rsidRPr="003F6A1B">
        <w:rPr>
          <w:bCs/>
          <w:color w:val="000000"/>
          <w:spacing w:val="-1"/>
          <w:sz w:val="12"/>
          <w:szCs w:val="12"/>
        </w:rPr>
        <w:t xml:space="preserve">. Aucun lien </w:t>
      </w:r>
      <w:r w:rsidR="00D61A49">
        <w:rPr>
          <w:bCs/>
          <w:color w:val="000000"/>
          <w:spacing w:val="-1"/>
          <w:sz w:val="12"/>
          <w:szCs w:val="12"/>
        </w:rPr>
        <w:t xml:space="preserve">ni relation </w:t>
      </w:r>
      <w:r w:rsidRPr="003F6A1B">
        <w:rPr>
          <w:bCs/>
          <w:color w:val="000000"/>
          <w:spacing w:val="-1"/>
          <w:sz w:val="12"/>
          <w:szCs w:val="12"/>
        </w:rPr>
        <w:t>d’exclusivité ne doit être</w:t>
      </w:r>
      <w:r w:rsidR="00D02F7C">
        <w:rPr>
          <w:bCs/>
          <w:color w:val="000000"/>
          <w:spacing w:val="-1"/>
          <w:sz w:val="12"/>
          <w:szCs w:val="12"/>
        </w:rPr>
        <w:t xml:space="preserve"> inférée</w:t>
      </w:r>
      <w:r w:rsidRPr="003F6A1B">
        <w:rPr>
          <w:bCs/>
          <w:color w:val="000000"/>
          <w:spacing w:val="-1"/>
          <w:sz w:val="12"/>
          <w:szCs w:val="12"/>
        </w:rPr>
        <w:t xml:space="preserve"> d</w:t>
      </w:r>
      <w:r w:rsidR="00D61A49">
        <w:rPr>
          <w:bCs/>
          <w:color w:val="000000"/>
          <w:spacing w:val="-1"/>
          <w:sz w:val="12"/>
          <w:szCs w:val="12"/>
        </w:rPr>
        <w:t>e</w:t>
      </w:r>
      <w:r w:rsidRPr="003F6A1B">
        <w:rPr>
          <w:bCs/>
          <w:color w:val="000000"/>
          <w:spacing w:val="-1"/>
          <w:sz w:val="12"/>
          <w:szCs w:val="12"/>
        </w:rPr>
        <w:t xml:space="preserve"> la </w:t>
      </w:r>
      <w:r w:rsidR="006E7785">
        <w:rPr>
          <w:bCs/>
          <w:color w:val="000000"/>
          <w:spacing w:val="-1"/>
          <w:sz w:val="12"/>
          <w:szCs w:val="12"/>
        </w:rPr>
        <w:t>Convention</w:t>
      </w:r>
      <w:r w:rsidRPr="003F6A1B">
        <w:rPr>
          <w:bCs/>
          <w:color w:val="000000"/>
          <w:spacing w:val="-1"/>
          <w:sz w:val="12"/>
          <w:szCs w:val="12"/>
        </w:rPr>
        <w:t xml:space="preserve"> et le </w:t>
      </w:r>
      <w:r w:rsidR="00CE4FA4">
        <w:rPr>
          <w:bCs/>
          <w:color w:val="000000"/>
          <w:spacing w:val="-1"/>
          <w:sz w:val="12"/>
          <w:szCs w:val="12"/>
        </w:rPr>
        <w:t>Fournisseur</w:t>
      </w:r>
      <w:r w:rsidRPr="003F6A1B">
        <w:rPr>
          <w:bCs/>
          <w:color w:val="000000"/>
          <w:spacing w:val="-1"/>
          <w:sz w:val="12"/>
          <w:szCs w:val="12"/>
        </w:rPr>
        <w:t xml:space="preserve"> est libre de fournir des </w:t>
      </w:r>
      <w:r w:rsidR="00CE4FA4">
        <w:rPr>
          <w:bCs/>
          <w:color w:val="000000"/>
          <w:spacing w:val="-1"/>
          <w:sz w:val="12"/>
          <w:szCs w:val="12"/>
        </w:rPr>
        <w:t>Services</w:t>
      </w:r>
      <w:r w:rsidRPr="003F6A1B">
        <w:rPr>
          <w:bCs/>
          <w:color w:val="000000"/>
          <w:spacing w:val="-1"/>
          <w:sz w:val="12"/>
          <w:szCs w:val="12"/>
        </w:rPr>
        <w:t xml:space="preserve"> à des tiers. S’il y a lieu, le </w:t>
      </w:r>
      <w:r w:rsidR="00CE4FA4">
        <w:rPr>
          <w:bCs/>
          <w:color w:val="000000"/>
          <w:spacing w:val="-1"/>
          <w:sz w:val="12"/>
          <w:szCs w:val="12"/>
        </w:rPr>
        <w:t>Fournisseur</w:t>
      </w:r>
      <w:r w:rsidRPr="003F6A1B">
        <w:rPr>
          <w:bCs/>
          <w:color w:val="000000"/>
          <w:spacing w:val="-1"/>
          <w:sz w:val="12"/>
          <w:szCs w:val="12"/>
        </w:rPr>
        <w:t xml:space="preserve"> ne doit pas exercer, directement ou indirectement, des activités ni accepter un emploi ou une rémunération pour des </w:t>
      </w:r>
      <w:r w:rsidR="00D02F7C">
        <w:rPr>
          <w:bCs/>
          <w:color w:val="000000"/>
          <w:spacing w:val="-1"/>
          <w:sz w:val="12"/>
          <w:szCs w:val="12"/>
        </w:rPr>
        <w:t>s</w:t>
      </w:r>
      <w:r w:rsidR="00CE4FA4">
        <w:rPr>
          <w:bCs/>
          <w:color w:val="000000"/>
          <w:spacing w:val="-1"/>
          <w:sz w:val="12"/>
          <w:szCs w:val="12"/>
        </w:rPr>
        <w:t>ervices</w:t>
      </w:r>
      <w:r w:rsidRPr="003F6A1B">
        <w:rPr>
          <w:bCs/>
          <w:color w:val="000000"/>
          <w:spacing w:val="-1"/>
          <w:sz w:val="12"/>
          <w:szCs w:val="12"/>
        </w:rPr>
        <w:t xml:space="preserve"> rendus, qui pourraient créer un conflit d’intérêts avec Interfor ou quelque société mère, filiale ou membre du groupe d’Interfor, sans le consentement écrit préalable d’Interfor.</w:t>
      </w:r>
      <w:r w:rsidR="004E5A88">
        <w:rPr>
          <w:bCs/>
          <w:color w:val="000000"/>
          <w:spacing w:val="-1"/>
          <w:sz w:val="12"/>
          <w:szCs w:val="12"/>
        </w:rPr>
        <w:t xml:space="preserve"> </w:t>
      </w:r>
    </w:p>
    <w:p w14:paraId="1FAE7F03" w14:textId="30AFCED8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FONCTION</w:t>
      </w:r>
      <w:r w:rsidRPr="00B55ADC">
        <w:rPr>
          <w:color w:val="000000"/>
          <w:sz w:val="12"/>
          <w:szCs w:val="12"/>
        </w:rPr>
        <w:t xml:space="preserve"> </w:t>
      </w:r>
      <w:r w:rsidRPr="003F6A1B">
        <w:rPr>
          <w:b/>
          <w:bCs/>
          <w:color w:val="000000"/>
          <w:sz w:val="12"/>
          <w:szCs w:val="12"/>
        </w:rPr>
        <w:t>DE PA</w:t>
      </w:r>
      <w:r w:rsidR="00EF3C3A">
        <w:rPr>
          <w:b/>
          <w:bCs/>
          <w:color w:val="000000"/>
          <w:sz w:val="12"/>
          <w:szCs w:val="12"/>
        </w:rPr>
        <w:t>YE</w:t>
      </w:r>
      <w:r w:rsidRPr="00F63B0F">
        <w:rPr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</w:t>
      </w:r>
      <w:r w:rsidR="00EF3C3A">
        <w:rPr>
          <w:color w:val="000000"/>
          <w:sz w:val="12"/>
          <w:szCs w:val="12"/>
        </w:rPr>
        <w:t>observ</w:t>
      </w:r>
      <w:r w:rsidRPr="00B55ADC">
        <w:rPr>
          <w:color w:val="000000"/>
          <w:sz w:val="12"/>
          <w:szCs w:val="12"/>
        </w:rPr>
        <w:t xml:space="preserve">e et respecte tous les </w:t>
      </w:r>
      <w:r w:rsidR="00C15071">
        <w:rPr>
          <w:color w:val="000000"/>
          <w:sz w:val="12"/>
          <w:szCs w:val="12"/>
        </w:rPr>
        <w:t xml:space="preserve">codes, </w:t>
      </w:r>
      <w:r w:rsidRPr="00B55ADC">
        <w:rPr>
          <w:color w:val="000000"/>
          <w:sz w:val="12"/>
          <w:szCs w:val="12"/>
        </w:rPr>
        <w:t>règles, lois, ordonnances</w:t>
      </w:r>
      <w:r w:rsidR="00C15071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>et règlements applicables en matière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emploi, de travail et de droits de la personne.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convient de remettre </w:t>
      </w:r>
      <w:r w:rsidR="00586505">
        <w:rPr>
          <w:color w:val="000000"/>
          <w:sz w:val="12"/>
          <w:szCs w:val="12"/>
        </w:rPr>
        <w:t>ce qui suit</w:t>
      </w:r>
      <w:r w:rsidR="00D60C7A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 xml:space="preserve">et </w:t>
      </w:r>
      <w:r w:rsidR="00996207">
        <w:rPr>
          <w:color w:val="000000"/>
          <w:sz w:val="12"/>
          <w:szCs w:val="12"/>
        </w:rPr>
        <w:t xml:space="preserve">d’en être </w:t>
      </w:r>
      <w:r w:rsidRPr="00B55ADC">
        <w:rPr>
          <w:color w:val="000000"/>
          <w:sz w:val="12"/>
          <w:szCs w:val="12"/>
        </w:rPr>
        <w:t>responsable</w:t>
      </w:r>
      <w:r w:rsidR="00D60C7A">
        <w:rPr>
          <w:color w:val="000000"/>
          <w:sz w:val="12"/>
          <w:szCs w:val="12"/>
        </w:rPr>
        <w:t> : les retenues d’impôt; les impôts sur le revenu</w:t>
      </w:r>
      <w:r w:rsidRPr="00B55ADC">
        <w:rPr>
          <w:color w:val="000000"/>
          <w:sz w:val="12"/>
          <w:szCs w:val="12"/>
        </w:rPr>
        <w:t xml:space="preserve">; les </w:t>
      </w:r>
      <w:r w:rsidR="002C61BB">
        <w:rPr>
          <w:color w:val="000000"/>
          <w:sz w:val="12"/>
          <w:szCs w:val="12"/>
        </w:rPr>
        <w:t xml:space="preserve">cotisations </w:t>
      </w:r>
      <w:r w:rsidR="001848D6">
        <w:rPr>
          <w:color w:val="000000"/>
          <w:sz w:val="12"/>
          <w:szCs w:val="12"/>
        </w:rPr>
        <w:t xml:space="preserve">au titre </w:t>
      </w:r>
      <w:r w:rsidR="002C61BB">
        <w:rPr>
          <w:color w:val="000000"/>
          <w:sz w:val="12"/>
          <w:szCs w:val="12"/>
        </w:rPr>
        <w:t xml:space="preserve">de </w:t>
      </w:r>
      <w:r w:rsidRPr="00B55ADC">
        <w:rPr>
          <w:color w:val="000000"/>
          <w:sz w:val="12"/>
          <w:szCs w:val="12"/>
        </w:rPr>
        <w:t xml:space="preserve">régimes de retraite, </w:t>
      </w:r>
      <w:r w:rsidR="001848D6">
        <w:rPr>
          <w:color w:val="000000"/>
          <w:sz w:val="12"/>
          <w:szCs w:val="12"/>
        </w:rPr>
        <w:t xml:space="preserve">de </w:t>
      </w:r>
      <w:r w:rsidR="00BD71DE">
        <w:rPr>
          <w:color w:val="000000"/>
          <w:sz w:val="12"/>
          <w:szCs w:val="12"/>
        </w:rPr>
        <w:t>s</w:t>
      </w:r>
      <w:r w:rsidR="00CE4FA4">
        <w:rPr>
          <w:color w:val="000000"/>
          <w:sz w:val="12"/>
          <w:szCs w:val="12"/>
        </w:rPr>
        <w:t>ervices</w:t>
      </w:r>
      <w:r w:rsidRPr="00B55ADC">
        <w:rPr>
          <w:color w:val="000000"/>
          <w:sz w:val="12"/>
          <w:szCs w:val="12"/>
        </w:rPr>
        <w:t xml:space="preserve"> sociaux ou les cotisations semblables applicables; les déductions au titre de </w:t>
      </w:r>
      <w:r w:rsidR="001848D6">
        <w:rPr>
          <w:color w:val="000000"/>
          <w:sz w:val="12"/>
          <w:szCs w:val="12"/>
        </w:rPr>
        <w:t xml:space="preserve">l’emploi ou de </w:t>
      </w:r>
      <w:r w:rsidRPr="00B55ADC">
        <w:rPr>
          <w:color w:val="000000"/>
          <w:sz w:val="12"/>
          <w:szCs w:val="12"/>
        </w:rPr>
        <w:t>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assurance-emploi; les cotisations et les pénalités relatives à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indemnisation des accidents du travail; les taxes </w:t>
      </w:r>
      <w:r w:rsidR="006B044C">
        <w:rPr>
          <w:color w:val="000000"/>
          <w:sz w:val="12"/>
          <w:szCs w:val="12"/>
        </w:rPr>
        <w:t xml:space="preserve">et impôts </w:t>
      </w:r>
      <w:r w:rsidRPr="00B55ADC">
        <w:rPr>
          <w:color w:val="000000"/>
          <w:sz w:val="12"/>
          <w:szCs w:val="12"/>
        </w:rPr>
        <w:t>et les autres déductions requis</w:t>
      </w:r>
      <w:r w:rsidR="00444EAA">
        <w:rPr>
          <w:color w:val="000000"/>
          <w:sz w:val="12"/>
          <w:szCs w:val="12"/>
        </w:rPr>
        <w:t>es</w:t>
      </w:r>
      <w:r w:rsidRPr="00B55ADC">
        <w:rPr>
          <w:color w:val="000000"/>
          <w:sz w:val="12"/>
          <w:szCs w:val="12"/>
        </w:rPr>
        <w:t xml:space="preserve"> par les lois applicables pour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et </w:t>
      </w:r>
      <w:r w:rsidR="006A3047">
        <w:rPr>
          <w:color w:val="000000"/>
          <w:sz w:val="12"/>
          <w:szCs w:val="12"/>
        </w:rPr>
        <w:t>le</w:t>
      </w:r>
      <w:r w:rsidRPr="00B55ADC">
        <w:rPr>
          <w:color w:val="000000"/>
          <w:sz w:val="12"/>
          <w:szCs w:val="12"/>
        </w:rPr>
        <w:t xml:space="preserve">s </w:t>
      </w:r>
      <w:r w:rsidR="00CE4FA4">
        <w:rPr>
          <w:color w:val="000000"/>
          <w:sz w:val="12"/>
          <w:szCs w:val="12"/>
        </w:rPr>
        <w:t>Représentants</w:t>
      </w:r>
      <w:r w:rsidRPr="00B55ADC">
        <w:rPr>
          <w:color w:val="000000"/>
          <w:sz w:val="12"/>
          <w:szCs w:val="12"/>
        </w:rPr>
        <w:t xml:space="preserve">. Le </w:t>
      </w:r>
      <w:r w:rsidR="00CE4FA4">
        <w:rPr>
          <w:color w:val="000000"/>
          <w:sz w:val="12"/>
          <w:szCs w:val="12"/>
        </w:rPr>
        <w:t>Fournisseur</w:t>
      </w:r>
      <w:r w:rsidRPr="00B55ADC">
        <w:rPr>
          <w:color w:val="000000"/>
          <w:sz w:val="12"/>
          <w:szCs w:val="12"/>
        </w:rPr>
        <w:t xml:space="preserve"> est </w:t>
      </w:r>
      <w:r w:rsidR="00830D08">
        <w:rPr>
          <w:color w:val="000000"/>
          <w:sz w:val="12"/>
          <w:szCs w:val="12"/>
        </w:rPr>
        <w:t xml:space="preserve">le </w:t>
      </w:r>
      <w:r w:rsidRPr="00B55ADC">
        <w:rPr>
          <w:color w:val="000000"/>
          <w:sz w:val="12"/>
          <w:szCs w:val="12"/>
        </w:rPr>
        <w:t>seul responsable de</w:t>
      </w:r>
      <w:r w:rsidR="00444EAA">
        <w:rPr>
          <w:color w:val="000000"/>
          <w:sz w:val="12"/>
          <w:szCs w:val="12"/>
        </w:rPr>
        <w:t xml:space="preserve"> déposer et produire</w:t>
      </w:r>
      <w:r w:rsidRPr="00B55ADC">
        <w:rPr>
          <w:color w:val="000000"/>
          <w:sz w:val="12"/>
          <w:szCs w:val="12"/>
        </w:rPr>
        <w:t xml:space="preserve"> tous les </w:t>
      </w:r>
      <w:r w:rsidR="00995BB7">
        <w:rPr>
          <w:color w:val="000000"/>
          <w:sz w:val="12"/>
          <w:szCs w:val="12"/>
        </w:rPr>
        <w:t xml:space="preserve">rapports et </w:t>
      </w:r>
      <w:r w:rsidRPr="00B55ADC">
        <w:rPr>
          <w:color w:val="000000"/>
          <w:sz w:val="12"/>
          <w:szCs w:val="12"/>
        </w:rPr>
        <w:t>déclarations requis</w:t>
      </w:r>
      <w:r w:rsidR="00444EAA">
        <w:rPr>
          <w:color w:val="000000"/>
          <w:sz w:val="12"/>
          <w:szCs w:val="12"/>
        </w:rPr>
        <w:t>es</w:t>
      </w:r>
      <w:r w:rsidRPr="00B55ADC">
        <w:rPr>
          <w:color w:val="000000"/>
          <w:sz w:val="12"/>
          <w:szCs w:val="12"/>
        </w:rPr>
        <w:t xml:space="preserve"> en vertu de la législation applicable, y compris, notamment, les lois fiscales,</w:t>
      </w:r>
      <w:r w:rsidR="00C132FF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 xml:space="preserve">les régimes de retraite, les </w:t>
      </w:r>
      <w:r w:rsidR="00391065">
        <w:rPr>
          <w:color w:val="000000"/>
          <w:sz w:val="12"/>
          <w:szCs w:val="12"/>
        </w:rPr>
        <w:t>s</w:t>
      </w:r>
      <w:r w:rsidR="00CE4FA4">
        <w:rPr>
          <w:color w:val="000000"/>
          <w:sz w:val="12"/>
          <w:szCs w:val="12"/>
        </w:rPr>
        <w:t>ervices</w:t>
      </w:r>
      <w:r w:rsidRPr="00B55ADC">
        <w:rPr>
          <w:color w:val="000000"/>
          <w:sz w:val="12"/>
          <w:szCs w:val="12"/>
        </w:rPr>
        <w:t xml:space="preserve"> sociaux ou les lois similaires et les lois sur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emploi ou l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assurance-</w:t>
      </w:r>
      <w:r w:rsidR="00682D25">
        <w:rPr>
          <w:color w:val="000000"/>
          <w:sz w:val="12"/>
          <w:szCs w:val="12"/>
        </w:rPr>
        <w:t>emploi</w:t>
      </w:r>
      <w:r w:rsidRPr="00B55ADC">
        <w:rPr>
          <w:color w:val="000000"/>
          <w:sz w:val="12"/>
          <w:szCs w:val="12"/>
        </w:rPr>
        <w:t xml:space="preserve"> applicables</w:t>
      </w:r>
      <w:r w:rsidR="00444EAA">
        <w:rPr>
          <w:color w:val="000000"/>
          <w:sz w:val="12"/>
          <w:szCs w:val="12"/>
        </w:rPr>
        <w:t>.</w:t>
      </w:r>
    </w:p>
    <w:p w14:paraId="5B0C6669" w14:textId="31FEAFE1" w:rsidR="00B55ADC" w:rsidRPr="00B55ADC" w:rsidRDefault="00FE43E8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>
        <w:rPr>
          <w:b/>
          <w:color w:val="000000"/>
          <w:sz w:val="12"/>
          <w:szCs w:val="12"/>
        </w:rPr>
        <w:t>INDEMNISATION DES ACCIDENTS DU</w:t>
      </w:r>
      <w:r w:rsidR="00B55ADC" w:rsidRPr="003F6A1B">
        <w:rPr>
          <w:b/>
          <w:bCs/>
          <w:color w:val="000000"/>
          <w:sz w:val="12"/>
          <w:szCs w:val="12"/>
        </w:rPr>
        <w:t xml:space="preserve"> TRAVAI</w:t>
      </w:r>
      <w:r>
        <w:rPr>
          <w:b/>
          <w:bCs/>
          <w:color w:val="000000"/>
          <w:sz w:val="12"/>
          <w:szCs w:val="12"/>
        </w:rPr>
        <w:t>L</w:t>
      </w:r>
      <w:r w:rsidR="00B55ADC" w:rsidRPr="00B55ADC">
        <w:rPr>
          <w:color w:val="000000"/>
          <w:sz w:val="12"/>
          <w:szCs w:val="12"/>
        </w:rPr>
        <w:t xml:space="preserve">.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se conforme à </w:t>
      </w:r>
      <w:r w:rsidR="00D3301E">
        <w:rPr>
          <w:color w:val="000000"/>
          <w:sz w:val="12"/>
          <w:szCs w:val="12"/>
        </w:rPr>
        <w:t>l’ensemble d</w:t>
      </w:r>
      <w:r w:rsidR="00B55ADC" w:rsidRPr="00B55ADC">
        <w:rPr>
          <w:color w:val="000000"/>
          <w:sz w:val="12"/>
          <w:szCs w:val="12"/>
        </w:rPr>
        <w:t>es lois</w:t>
      </w:r>
      <w:r w:rsidR="00D3301E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 xml:space="preserve">et règlements applicables </w:t>
      </w:r>
      <w:bookmarkStart w:id="7" w:name="_Hlk94348080"/>
      <w:r w:rsidR="00B55ADC" w:rsidRPr="00B55ADC">
        <w:rPr>
          <w:color w:val="000000"/>
          <w:sz w:val="12"/>
          <w:szCs w:val="12"/>
        </w:rPr>
        <w:t xml:space="preserve">en matière </w:t>
      </w:r>
      <w:r w:rsidR="00D3301E">
        <w:rPr>
          <w:color w:val="000000"/>
          <w:sz w:val="12"/>
          <w:szCs w:val="12"/>
        </w:rPr>
        <w:t>d’indemnisation des accidents du travail</w:t>
      </w:r>
      <w:r w:rsidR="00B55ADC" w:rsidRPr="00B55ADC">
        <w:rPr>
          <w:color w:val="000000"/>
          <w:sz w:val="12"/>
          <w:szCs w:val="12"/>
        </w:rPr>
        <w:t xml:space="preserve"> et de santé et sécurité au travail </w:t>
      </w:r>
      <w:bookmarkEnd w:id="7"/>
      <w:r w:rsidR="00B55ADC" w:rsidRPr="00B55ADC">
        <w:rPr>
          <w:color w:val="000000"/>
          <w:sz w:val="12"/>
          <w:szCs w:val="12"/>
        </w:rPr>
        <w:t xml:space="preserve">et doit obtenir et maintenir </w:t>
      </w:r>
      <w:r w:rsidR="00D3301E">
        <w:rPr>
          <w:color w:val="000000"/>
          <w:sz w:val="12"/>
          <w:szCs w:val="12"/>
        </w:rPr>
        <w:t xml:space="preserve">pleinement </w:t>
      </w:r>
      <w:r w:rsidR="00B55ADC" w:rsidRPr="00B55ADC">
        <w:rPr>
          <w:color w:val="000000"/>
          <w:sz w:val="12"/>
          <w:szCs w:val="12"/>
        </w:rPr>
        <w:t xml:space="preserve">en vigueur, sans interruption pendant la durée de la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, à ses propres frais, </w:t>
      </w:r>
      <w:r w:rsidR="004D4EA0">
        <w:rPr>
          <w:color w:val="000000"/>
          <w:sz w:val="12"/>
          <w:szCs w:val="12"/>
        </w:rPr>
        <w:t>une</w:t>
      </w:r>
      <w:r w:rsidR="006E6270">
        <w:rPr>
          <w:color w:val="000000"/>
          <w:sz w:val="12"/>
          <w:szCs w:val="12"/>
        </w:rPr>
        <w:t xml:space="preserve"> couverture </w:t>
      </w:r>
      <w:r w:rsidR="00080F92" w:rsidRPr="00080F92">
        <w:rPr>
          <w:color w:val="000000"/>
          <w:sz w:val="12"/>
          <w:szCs w:val="12"/>
        </w:rPr>
        <w:t xml:space="preserve">en matière d’indemnisation des accidents du travail et de santé et sécurité au travail </w:t>
      </w:r>
      <w:r w:rsidR="006E6270">
        <w:rPr>
          <w:color w:val="000000"/>
          <w:sz w:val="12"/>
          <w:szCs w:val="12"/>
        </w:rPr>
        <w:t>pour le</w:t>
      </w:r>
      <w:r w:rsidR="00B55ADC" w:rsidRPr="00B55ADC">
        <w:rPr>
          <w:color w:val="000000"/>
          <w:sz w:val="12"/>
          <w:szCs w:val="12"/>
        </w:rPr>
        <w:t xml:space="preserve">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et ses employés suffisante pour couvrir chaque province, État ou territoire dans lequel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a été embauché par Interfor,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a embauché ses employés, et dans lequel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ou ses employés </w:t>
      </w:r>
      <w:r w:rsidR="004B21FC">
        <w:rPr>
          <w:color w:val="000000"/>
          <w:sz w:val="12"/>
          <w:szCs w:val="12"/>
        </w:rPr>
        <w:t xml:space="preserve">exécutent des </w:t>
      </w:r>
      <w:r w:rsidR="00CE4FA4">
        <w:rPr>
          <w:color w:val="000000"/>
          <w:sz w:val="12"/>
          <w:szCs w:val="12"/>
        </w:rPr>
        <w:t>Services</w:t>
      </w:r>
      <w:r w:rsidR="004B21FC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 xml:space="preserve">pour Interfor.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doit fournir à Interfor une lettre de décharge ou une preuve de la </w:t>
      </w:r>
      <w:r w:rsidR="004B21FC">
        <w:rPr>
          <w:color w:val="000000"/>
          <w:sz w:val="12"/>
          <w:szCs w:val="12"/>
        </w:rPr>
        <w:t>couverture</w:t>
      </w:r>
      <w:r w:rsidR="00B55ADC" w:rsidRPr="00B55ADC">
        <w:rPr>
          <w:color w:val="000000"/>
          <w:sz w:val="12"/>
          <w:szCs w:val="12"/>
        </w:rPr>
        <w:t xml:space="preserve">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assurance contre les accidents du travail des autorités compétentes en matière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indemnisation des accidents du travail et doit immédiatement aviser Interfor de toute déchéance de la </w:t>
      </w:r>
      <w:r w:rsidR="0089023B">
        <w:rPr>
          <w:color w:val="000000"/>
          <w:sz w:val="12"/>
          <w:szCs w:val="12"/>
        </w:rPr>
        <w:t>couverture</w:t>
      </w:r>
      <w:r w:rsidR="00B55ADC" w:rsidRPr="00B55ADC">
        <w:rPr>
          <w:color w:val="000000"/>
          <w:sz w:val="12"/>
          <w:szCs w:val="12"/>
        </w:rPr>
        <w:t>.</w:t>
      </w:r>
    </w:p>
    <w:p w14:paraId="7299F6BF" w14:textId="7CB0BD36" w:rsidR="00B55ADC" w:rsidRPr="003F6A1B" w:rsidRDefault="00B55ADC" w:rsidP="00B55ADC">
      <w:pPr>
        <w:pStyle w:val="Heading1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jc w:val="both"/>
      </w:pPr>
      <w:r w:rsidRPr="00B55ADC">
        <w:rPr>
          <w:color w:val="000000"/>
        </w:rPr>
        <w:t>ÉGALITÉ DES CHANCES</w:t>
      </w:r>
      <w:r w:rsidRPr="00F63B0F">
        <w:rPr>
          <w:b w:val="0"/>
          <w:bCs w:val="0"/>
          <w:color w:val="000000"/>
        </w:rPr>
        <w:t>.</w:t>
      </w:r>
      <w:r w:rsidRPr="00B55ADC">
        <w:rPr>
          <w:color w:val="000000"/>
        </w:rPr>
        <w:t xml:space="preserve"> </w:t>
      </w:r>
      <w:r w:rsidRPr="003F6A1B">
        <w:rPr>
          <w:color w:val="000000"/>
        </w:rPr>
        <w:t xml:space="preserve">Le </w:t>
      </w:r>
      <w:r w:rsidR="00CE4FA4">
        <w:rPr>
          <w:color w:val="000000"/>
        </w:rPr>
        <w:t>Fournisseur</w:t>
      </w:r>
      <w:r w:rsidRPr="003F6A1B">
        <w:rPr>
          <w:color w:val="000000"/>
        </w:rPr>
        <w:t xml:space="preserve"> et ses sous-traitants ne doivent pas</w:t>
      </w:r>
      <w:r w:rsidR="00075CB1">
        <w:rPr>
          <w:color w:val="000000"/>
        </w:rPr>
        <w:t xml:space="preserve"> </w:t>
      </w:r>
      <w:proofErr w:type="gramStart"/>
      <w:r w:rsidR="00075CB1">
        <w:rPr>
          <w:color w:val="000000"/>
        </w:rPr>
        <w:t xml:space="preserve">discriminer,  </w:t>
      </w:r>
      <w:r w:rsidRPr="003F6A1B">
        <w:rPr>
          <w:color w:val="000000"/>
        </w:rPr>
        <w:t>à</w:t>
      </w:r>
      <w:proofErr w:type="gramEnd"/>
      <w:r w:rsidRPr="003F6A1B">
        <w:rPr>
          <w:color w:val="000000"/>
        </w:rPr>
        <w:t xml:space="preserve"> l’égard des personnes qualifiées</w:t>
      </w:r>
      <w:r w:rsidR="00075CB1">
        <w:rPr>
          <w:color w:val="000000"/>
        </w:rPr>
        <w:t>,</w:t>
      </w:r>
      <w:r w:rsidRPr="003F6A1B">
        <w:rPr>
          <w:color w:val="000000"/>
        </w:rPr>
        <w:t xml:space="preserve"> en raison de leur statut d’anciens combattants protégé</w:t>
      </w:r>
      <w:r w:rsidR="00965278">
        <w:rPr>
          <w:color w:val="000000"/>
        </w:rPr>
        <w:t>s</w:t>
      </w:r>
      <w:r w:rsidRPr="003F6A1B">
        <w:rPr>
          <w:color w:val="000000"/>
        </w:rPr>
        <w:t xml:space="preserve"> ou de personnes handicapées, et ne doivent pas faire de discrimination à l’égard de toute personne en raison de </w:t>
      </w:r>
      <w:r w:rsidR="008E4997">
        <w:rPr>
          <w:color w:val="000000"/>
        </w:rPr>
        <w:t>sa</w:t>
      </w:r>
      <w:r w:rsidRPr="003F6A1B">
        <w:rPr>
          <w:color w:val="000000"/>
        </w:rPr>
        <w:t xml:space="preserve"> race, de </w:t>
      </w:r>
      <w:r w:rsidR="008E4997">
        <w:rPr>
          <w:color w:val="000000"/>
        </w:rPr>
        <w:t>sa</w:t>
      </w:r>
      <w:r w:rsidRPr="003F6A1B">
        <w:rPr>
          <w:color w:val="000000"/>
        </w:rPr>
        <w:t xml:space="preserve"> couleur, de </w:t>
      </w:r>
      <w:r w:rsidR="008E4997">
        <w:rPr>
          <w:color w:val="000000"/>
        </w:rPr>
        <w:t>sa</w:t>
      </w:r>
      <w:r w:rsidRPr="003F6A1B">
        <w:rPr>
          <w:color w:val="000000"/>
        </w:rPr>
        <w:t xml:space="preserve"> religion, de </w:t>
      </w:r>
      <w:r w:rsidR="008E4997">
        <w:rPr>
          <w:color w:val="000000"/>
        </w:rPr>
        <w:t>son</w:t>
      </w:r>
      <w:r w:rsidRPr="003F6A1B">
        <w:rPr>
          <w:color w:val="000000"/>
        </w:rPr>
        <w:t xml:space="preserve"> sexe, de </w:t>
      </w:r>
      <w:r w:rsidR="008E4997">
        <w:rPr>
          <w:color w:val="000000"/>
        </w:rPr>
        <w:t>son</w:t>
      </w:r>
      <w:r w:rsidRPr="003F6A1B">
        <w:rPr>
          <w:color w:val="000000"/>
        </w:rPr>
        <w:t xml:space="preserve"> orientation sexuelle, de </w:t>
      </w:r>
      <w:r w:rsidR="008E4997">
        <w:rPr>
          <w:color w:val="000000"/>
        </w:rPr>
        <w:t>son</w:t>
      </w:r>
      <w:r w:rsidRPr="003F6A1B">
        <w:rPr>
          <w:color w:val="000000"/>
        </w:rPr>
        <w:t xml:space="preserve"> identité de genre ou de </w:t>
      </w:r>
      <w:r w:rsidR="00D31732">
        <w:rPr>
          <w:color w:val="000000"/>
        </w:rPr>
        <w:t>son</w:t>
      </w:r>
      <w:r w:rsidRPr="003F6A1B">
        <w:rPr>
          <w:color w:val="000000"/>
        </w:rPr>
        <w:t xml:space="preserve"> origine nationale. Tout </w:t>
      </w:r>
      <w:r w:rsidR="00CE4FA4">
        <w:rPr>
          <w:color w:val="000000"/>
        </w:rPr>
        <w:t>Fournisseur</w:t>
      </w:r>
      <w:r w:rsidRPr="003F6A1B">
        <w:rPr>
          <w:color w:val="000000"/>
        </w:rPr>
        <w:t xml:space="preserve"> de </w:t>
      </w:r>
      <w:r w:rsidR="00CE4FA4">
        <w:rPr>
          <w:color w:val="000000"/>
        </w:rPr>
        <w:t xml:space="preserve">Biens/Services </w:t>
      </w:r>
      <w:r w:rsidRPr="003F6A1B">
        <w:rPr>
          <w:color w:val="000000"/>
        </w:rPr>
        <w:t xml:space="preserve">à Interfor U.S. Inc., et </w:t>
      </w:r>
      <w:r w:rsidR="00D31732">
        <w:rPr>
          <w:color w:val="000000"/>
        </w:rPr>
        <w:t>l</w:t>
      </w:r>
      <w:r w:rsidRPr="003F6A1B">
        <w:rPr>
          <w:color w:val="000000"/>
        </w:rPr>
        <w:t>es sous-traitants</w:t>
      </w:r>
      <w:r w:rsidR="00D31732">
        <w:rPr>
          <w:color w:val="000000"/>
        </w:rPr>
        <w:t xml:space="preserve"> du </w:t>
      </w:r>
      <w:r w:rsidR="00CE4FA4">
        <w:rPr>
          <w:color w:val="000000"/>
        </w:rPr>
        <w:t>Fournisseur</w:t>
      </w:r>
      <w:r w:rsidRPr="003F6A1B">
        <w:rPr>
          <w:color w:val="000000"/>
        </w:rPr>
        <w:t xml:space="preserve">, doivent se conformer aux exigences </w:t>
      </w:r>
      <w:r w:rsidR="00774745" w:rsidRPr="00774745">
        <w:rPr>
          <w:color w:val="000000"/>
        </w:rPr>
        <w:t xml:space="preserve">de la </w:t>
      </w:r>
      <w:r w:rsidRPr="003F6A1B">
        <w:rPr>
          <w:color w:val="000000"/>
        </w:rPr>
        <w:t xml:space="preserve">41 </w:t>
      </w:r>
      <w:r w:rsidR="00964ADD">
        <w:rPr>
          <w:color w:val="000000"/>
        </w:rPr>
        <w:t xml:space="preserve">CFR </w:t>
      </w:r>
      <w:r w:rsidRPr="003F6A1B">
        <w:rPr>
          <w:color w:val="000000"/>
        </w:rPr>
        <w:t xml:space="preserve">§§ 60-1.4a), 60-300.5a) et 60-741.5a) de ne pas faire de discrimination et de prendre des mesures positives pour embaucher </w:t>
      </w:r>
      <w:r w:rsidR="00910123">
        <w:rPr>
          <w:color w:val="000000"/>
        </w:rPr>
        <w:t>et faire progresser</w:t>
      </w:r>
      <w:r w:rsidR="00995911">
        <w:rPr>
          <w:color w:val="000000"/>
        </w:rPr>
        <w:t xml:space="preserve"> dans l’emploi </w:t>
      </w:r>
      <w:r w:rsidRPr="003F6A1B">
        <w:rPr>
          <w:color w:val="000000"/>
        </w:rPr>
        <w:t xml:space="preserve">des personnes sans égard à la race, </w:t>
      </w:r>
      <w:r w:rsidR="00995911">
        <w:rPr>
          <w:color w:val="000000"/>
        </w:rPr>
        <w:t xml:space="preserve">à </w:t>
      </w:r>
      <w:r w:rsidRPr="003F6A1B">
        <w:rPr>
          <w:color w:val="000000"/>
        </w:rPr>
        <w:t xml:space="preserve">la couleur, </w:t>
      </w:r>
      <w:r w:rsidR="00995911">
        <w:rPr>
          <w:color w:val="000000"/>
        </w:rPr>
        <w:t xml:space="preserve">à la </w:t>
      </w:r>
      <w:r w:rsidRPr="003F6A1B">
        <w:rPr>
          <w:color w:val="000000"/>
        </w:rPr>
        <w:t xml:space="preserve">religion, </w:t>
      </w:r>
      <w:r w:rsidR="00995911">
        <w:rPr>
          <w:color w:val="000000"/>
        </w:rPr>
        <w:t xml:space="preserve">au </w:t>
      </w:r>
      <w:r w:rsidRPr="003F6A1B">
        <w:rPr>
          <w:color w:val="000000"/>
        </w:rPr>
        <w:t xml:space="preserve">sexe, </w:t>
      </w:r>
      <w:r w:rsidR="00995911">
        <w:rPr>
          <w:color w:val="000000"/>
        </w:rPr>
        <w:t>à l’</w:t>
      </w:r>
      <w:r w:rsidRPr="003F6A1B">
        <w:rPr>
          <w:color w:val="000000"/>
        </w:rPr>
        <w:t xml:space="preserve">orientation sexuelle, </w:t>
      </w:r>
      <w:r w:rsidR="00995911">
        <w:rPr>
          <w:color w:val="000000"/>
        </w:rPr>
        <w:t>à l’</w:t>
      </w:r>
      <w:r w:rsidRPr="003F6A1B">
        <w:rPr>
          <w:color w:val="000000"/>
        </w:rPr>
        <w:t xml:space="preserve">identité de genre, </w:t>
      </w:r>
      <w:r w:rsidR="00995911">
        <w:rPr>
          <w:color w:val="000000"/>
        </w:rPr>
        <w:t>à l’</w:t>
      </w:r>
      <w:r w:rsidRPr="003F6A1B">
        <w:rPr>
          <w:color w:val="000000"/>
        </w:rPr>
        <w:t xml:space="preserve">origine nationale, </w:t>
      </w:r>
      <w:r w:rsidR="00995911">
        <w:rPr>
          <w:color w:val="000000"/>
        </w:rPr>
        <w:t xml:space="preserve">au </w:t>
      </w:r>
      <w:r w:rsidRPr="003F6A1B">
        <w:rPr>
          <w:color w:val="000000"/>
        </w:rPr>
        <w:t>statut d’ancien combattant protégé ou</w:t>
      </w:r>
      <w:r w:rsidR="00D514DC">
        <w:rPr>
          <w:color w:val="000000"/>
        </w:rPr>
        <w:t xml:space="preserve"> de personne</w:t>
      </w:r>
      <w:r w:rsidRPr="003F6A1B">
        <w:rPr>
          <w:color w:val="000000"/>
        </w:rPr>
        <w:t xml:space="preserve"> handicap</w:t>
      </w:r>
      <w:r w:rsidR="00D514DC">
        <w:rPr>
          <w:color w:val="000000"/>
        </w:rPr>
        <w:t>ée</w:t>
      </w:r>
      <w:r w:rsidRPr="003F6A1B">
        <w:rPr>
          <w:color w:val="000000"/>
        </w:rPr>
        <w:t>.</w:t>
      </w:r>
    </w:p>
    <w:p w14:paraId="57425141" w14:textId="0188C0FE" w:rsidR="00B55ADC" w:rsidRPr="00B55ADC" w:rsidRDefault="003F6A1B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FORCE MAJEURE</w:t>
      </w:r>
      <w:r w:rsidRPr="00F63B0F">
        <w:rPr>
          <w:bCs/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>Si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exécution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une obligation aux termes de l</w:t>
      </w:r>
      <w:r w:rsidR="0085265B">
        <w:rPr>
          <w:color w:val="000000"/>
          <w:sz w:val="12"/>
          <w:szCs w:val="12"/>
        </w:rPr>
        <w:t xml:space="preserve">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>, sauf le paiement de sommes, est empêchée ou restreinte en raison de conditions météorologiques défavorables,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 incendie,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une inondation,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 tremblement de terre,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une explosion ou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un autre </w:t>
      </w:r>
      <w:r w:rsidR="00524E05">
        <w:rPr>
          <w:color w:val="000000"/>
          <w:sz w:val="12"/>
          <w:szCs w:val="12"/>
        </w:rPr>
        <w:t>« </w:t>
      </w:r>
      <w:r w:rsidR="00B55ADC" w:rsidRPr="00B55ADC">
        <w:rPr>
          <w:color w:val="000000"/>
          <w:sz w:val="12"/>
          <w:szCs w:val="12"/>
        </w:rPr>
        <w:t>acte de Dieu</w:t>
      </w:r>
      <w:r w:rsidR="00524E05">
        <w:rPr>
          <w:color w:val="000000"/>
          <w:sz w:val="12"/>
          <w:szCs w:val="12"/>
        </w:rPr>
        <w:t> »</w:t>
      </w:r>
      <w:r w:rsidR="00B55ADC" w:rsidRPr="00B55ADC">
        <w:rPr>
          <w:color w:val="000000"/>
          <w:sz w:val="12"/>
          <w:szCs w:val="12"/>
        </w:rPr>
        <w:t xml:space="preserve"> </w:t>
      </w:r>
      <w:r w:rsidR="008959E6">
        <w:rPr>
          <w:color w:val="000000"/>
          <w:sz w:val="12"/>
          <w:szCs w:val="12"/>
        </w:rPr>
        <w:t>hors du</w:t>
      </w:r>
      <w:r w:rsidR="00B55ADC" w:rsidRPr="00B55ADC">
        <w:rPr>
          <w:color w:val="000000"/>
          <w:sz w:val="12"/>
          <w:szCs w:val="12"/>
        </w:rPr>
        <w:t xml:space="preserve"> contrôle </w:t>
      </w:r>
      <w:r w:rsidR="00B726C9">
        <w:rPr>
          <w:color w:val="000000"/>
          <w:sz w:val="12"/>
          <w:szCs w:val="12"/>
        </w:rPr>
        <w:t xml:space="preserve">ou indépendant de la volonté </w:t>
      </w:r>
      <w:r w:rsidR="00B55ADC" w:rsidRPr="00B55ADC">
        <w:rPr>
          <w:color w:val="000000"/>
          <w:sz w:val="12"/>
          <w:szCs w:val="12"/>
        </w:rPr>
        <w:t>raisonnable de la partie touchée, la partie ainsi touchée, dès qu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elle en avise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autre partie, en sera dispensée dans la mesure et pendant la durée</w:t>
      </w:r>
      <w:r w:rsidR="00611C8F">
        <w:rPr>
          <w:color w:val="000000"/>
          <w:sz w:val="12"/>
          <w:szCs w:val="12"/>
        </w:rPr>
        <w:t xml:space="preserve"> de cet empêchement ou </w:t>
      </w:r>
      <w:r w:rsidR="00FA67D2">
        <w:rPr>
          <w:color w:val="000000"/>
          <w:sz w:val="12"/>
          <w:szCs w:val="12"/>
        </w:rPr>
        <w:t>restriction</w:t>
      </w:r>
      <w:r w:rsidR="00B55ADC" w:rsidRPr="00B55ADC">
        <w:rPr>
          <w:color w:val="000000"/>
          <w:sz w:val="12"/>
          <w:szCs w:val="12"/>
        </w:rPr>
        <w:t xml:space="preserve">; </w:t>
      </w:r>
      <w:r w:rsidR="00E14439">
        <w:rPr>
          <w:color w:val="000000"/>
          <w:sz w:val="12"/>
          <w:szCs w:val="12"/>
        </w:rPr>
        <w:t>étant entendu</w:t>
      </w:r>
      <w:r w:rsidR="00B55ADC" w:rsidRPr="00B55ADC">
        <w:rPr>
          <w:color w:val="000000"/>
          <w:sz w:val="12"/>
          <w:szCs w:val="12"/>
        </w:rPr>
        <w:t xml:space="preserve"> que la partie </w:t>
      </w:r>
      <w:r w:rsidR="00B55ADC" w:rsidRPr="00B55ADC">
        <w:rPr>
          <w:color w:val="000000"/>
          <w:sz w:val="12"/>
          <w:szCs w:val="12"/>
        </w:rPr>
        <w:t>ainsi touchée pren</w:t>
      </w:r>
      <w:r w:rsidR="001B7911">
        <w:rPr>
          <w:color w:val="000000"/>
          <w:sz w:val="12"/>
          <w:szCs w:val="12"/>
        </w:rPr>
        <w:t>ne</w:t>
      </w:r>
      <w:r w:rsidR="00B55ADC" w:rsidRPr="00B55ADC">
        <w:rPr>
          <w:color w:val="000000"/>
          <w:sz w:val="12"/>
          <w:szCs w:val="12"/>
        </w:rPr>
        <w:t xml:space="preserve"> toutes les mesures raisonnables pour éviter ou éliminer ces causes d</w:t>
      </w:r>
      <w:r w:rsidR="00C72862">
        <w:rPr>
          <w:color w:val="000000"/>
          <w:sz w:val="12"/>
          <w:szCs w:val="12"/>
        </w:rPr>
        <w:t>’in</w:t>
      </w:r>
      <w:r w:rsidR="00B55ADC" w:rsidRPr="00B55ADC">
        <w:rPr>
          <w:color w:val="000000"/>
          <w:sz w:val="12"/>
          <w:szCs w:val="12"/>
        </w:rPr>
        <w:t>exécution et repren</w:t>
      </w:r>
      <w:r w:rsidR="001B7911">
        <w:rPr>
          <w:color w:val="000000"/>
          <w:sz w:val="12"/>
          <w:szCs w:val="12"/>
        </w:rPr>
        <w:t>ne</w:t>
      </w:r>
      <w:r w:rsidR="00B55ADC" w:rsidRPr="00B55ADC">
        <w:rPr>
          <w:color w:val="000000"/>
          <w:sz w:val="12"/>
          <w:szCs w:val="12"/>
        </w:rPr>
        <w:t xml:space="preserve">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exécution aux termes de la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 </w:t>
      </w:r>
      <w:r w:rsidR="00C72862">
        <w:rPr>
          <w:color w:val="000000"/>
          <w:sz w:val="12"/>
          <w:szCs w:val="12"/>
        </w:rPr>
        <w:t>lorsque</w:t>
      </w:r>
      <w:r w:rsidR="00B55ADC" w:rsidRPr="00B55ADC">
        <w:rPr>
          <w:color w:val="000000"/>
          <w:sz w:val="12"/>
          <w:szCs w:val="12"/>
        </w:rPr>
        <w:t xml:space="preserve"> ces causes </w:t>
      </w:r>
      <w:r w:rsidR="00001B10">
        <w:rPr>
          <w:color w:val="000000"/>
          <w:sz w:val="12"/>
          <w:szCs w:val="12"/>
        </w:rPr>
        <w:t xml:space="preserve">cessent ou sont </w:t>
      </w:r>
      <w:r w:rsidR="002307F0">
        <w:rPr>
          <w:color w:val="000000"/>
          <w:sz w:val="12"/>
          <w:szCs w:val="12"/>
        </w:rPr>
        <w:t xml:space="preserve">éliminées ou </w:t>
      </w:r>
      <w:r w:rsidR="00B55ADC" w:rsidRPr="00B55ADC">
        <w:rPr>
          <w:color w:val="000000"/>
          <w:sz w:val="12"/>
          <w:szCs w:val="12"/>
        </w:rPr>
        <w:t>supprimées. L</w:t>
      </w:r>
      <w:r w:rsidR="00524E05">
        <w:rPr>
          <w:color w:val="000000"/>
          <w:sz w:val="12"/>
          <w:szCs w:val="12"/>
        </w:rPr>
        <w:t xml:space="preserve">’insuffisance </w:t>
      </w:r>
      <w:r w:rsidR="00B55ADC" w:rsidRPr="00B55ADC">
        <w:rPr>
          <w:color w:val="000000"/>
          <w:sz w:val="12"/>
          <w:szCs w:val="12"/>
        </w:rPr>
        <w:t>de fonds n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est pas une cause </w:t>
      </w:r>
      <w:r w:rsidR="00B726C9">
        <w:rPr>
          <w:color w:val="000000"/>
          <w:sz w:val="12"/>
          <w:szCs w:val="12"/>
        </w:rPr>
        <w:t xml:space="preserve">hors du contrôle ou </w:t>
      </w:r>
      <w:r w:rsidR="00B55ADC" w:rsidRPr="00B55ADC">
        <w:rPr>
          <w:color w:val="000000"/>
          <w:sz w:val="12"/>
          <w:szCs w:val="12"/>
        </w:rPr>
        <w:t>indépendante de la volonté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une partie.</w:t>
      </w:r>
    </w:p>
    <w:p w14:paraId="56BB7E5F" w14:textId="13F4A74E" w:rsidR="003F6A1B" w:rsidRDefault="00672112" w:rsidP="00AC1AB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>
        <w:rPr>
          <w:b/>
          <w:color w:val="000000"/>
          <w:sz w:val="12"/>
          <w:szCs w:val="12"/>
        </w:rPr>
        <w:t>RÉSILIATION</w:t>
      </w:r>
      <w:r w:rsidR="00B55ADC" w:rsidRPr="00B55ADC">
        <w:rPr>
          <w:b/>
          <w:color w:val="000000"/>
          <w:sz w:val="12"/>
          <w:szCs w:val="12"/>
        </w:rPr>
        <w:t xml:space="preserve"> ET DÉFAUT</w:t>
      </w:r>
      <w:r w:rsidR="00B55ADC" w:rsidRPr="00B55ADC">
        <w:rPr>
          <w:color w:val="000000"/>
          <w:sz w:val="12"/>
          <w:szCs w:val="12"/>
        </w:rPr>
        <w:t>. Interfor peut, à tout moment</w:t>
      </w:r>
      <w:r w:rsidR="00AF396F">
        <w:rPr>
          <w:color w:val="000000"/>
          <w:sz w:val="12"/>
          <w:szCs w:val="12"/>
        </w:rPr>
        <w:t>,</w:t>
      </w:r>
      <w:r w:rsidR="00B55ADC" w:rsidRPr="00B55ADC">
        <w:rPr>
          <w:color w:val="000000"/>
          <w:sz w:val="12"/>
          <w:szCs w:val="12"/>
        </w:rPr>
        <w:t xml:space="preserve"> sans motif et </w:t>
      </w:r>
      <w:r w:rsidR="00AF396F">
        <w:rPr>
          <w:color w:val="000000"/>
          <w:sz w:val="12"/>
          <w:szCs w:val="12"/>
        </w:rPr>
        <w:t xml:space="preserve">à son entière discrétion, </w:t>
      </w:r>
      <w:r w:rsidR="00B55ADC" w:rsidRPr="00B55ADC">
        <w:rPr>
          <w:color w:val="000000"/>
          <w:sz w:val="12"/>
          <w:szCs w:val="12"/>
        </w:rPr>
        <w:t xml:space="preserve">en remettant au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un avis écrit de résiliation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au moins dix (10) jours, résilier la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 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égard de la totalité ou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une partie des </w:t>
      </w:r>
      <w:r w:rsidR="00CE4FA4">
        <w:rPr>
          <w:color w:val="000000"/>
          <w:sz w:val="12"/>
          <w:szCs w:val="12"/>
        </w:rPr>
        <w:t xml:space="preserve">Biens/Services </w:t>
      </w:r>
      <w:r w:rsidR="00B55ADC" w:rsidRPr="00B55ADC">
        <w:rPr>
          <w:color w:val="000000"/>
          <w:sz w:val="12"/>
          <w:szCs w:val="12"/>
        </w:rPr>
        <w:t xml:space="preserve">qui, à la date de remise de cet avis au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>, n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ont pas</w:t>
      </w:r>
      <w:r w:rsidR="00525842">
        <w:rPr>
          <w:color w:val="000000"/>
          <w:sz w:val="12"/>
          <w:szCs w:val="12"/>
        </w:rPr>
        <w:t xml:space="preserve"> été </w:t>
      </w:r>
      <w:r w:rsidR="00B55ADC" w:rsidRPr="00B55ADC">
        <w:rPr>
          <w:color w:val="000000"/>
          <w:sz w:val="12"/>
          <w:szCs w:val="12"/>
        </w:rPr>
        <w:t>sp</w:t>
      </w:r>
      <w:r w:rsidR="00AF396F">
        <w:rPr>
          <w:color w:val="000000"/>
          <w:sz w:val="12"/>
          <w:szCs w:val="12"/>
        </w:rPr>
        <w:t>écifiquement</w:t>
      </w:r>
      <w:r w:rsidR="00525842">
        <w:rPr>
          <w:color w:val="000000"/>
          <w:sz w:val="12"/>
          <w:szCs w:val="12"/>
        </w:rPr>
        <w:t xml:space="preserve"> commandés</w:t>
      </w:r>
      <w:r w:rsidR="00B55ADC" w:rsidRPr="00B55ADC">
        <w:rPr>
          <w:color w:val="000000"/>
          <w:sz w:val="12"/>
          <w:szCs w:val="12"/>
        </w:rPr>
        <w:t xml:space="preserve"> par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>, n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ont pas été </w:t>
      </w:r>
      <w:r w:rsidR="00DD3A93">
        <w:rPr>
          <w:color w:val="000000"/>
          <w:sz w:val="12"/>
          <w:szCs w:val="12"/>
        </w:rPr>
        <w:t>expédiés</w:t>
      </w:r>
      <w:r w:rsidR="00AC07BA">
        <w:rPr>
          <w:color w:val="000000"/>
          <w:sz w:val="12"/>
          <w:szCs w:val="12"/>
        </w:rPr>
        <w:t>, livrés</w:t>
      </w:r>
      <w:r w:rsidR="00DD3A93">
        <w:rPr>
          <w:color w:val="000000"/>
          <w:sz w:val="12"/>
          <w:szCs w:val="12"/>
        </w:rPr>
        <w:t xml:space="preserve"> ou </w:t>
      </w:r>
      <w:r w:rsidR="00D22382">
        <w:rPr>
          <w:color w:val="000000"/>
          <w:sz w:val="12"/>
          <w:szCs w:val="12"/>
        </w:rPr>
        <w:t>envoy</w:t>
      </w:r>
      <w:r w:rsidR="00B55ADC" w:rsidRPr="00B55ADC">
        <w:rPr>
          <w:color w:val="000000"/>
          <w:sz w:val="12"/>
          <w:szCs w:val="12"/>
        </w:rPr>
        <w:t>és ou n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ont pas </w:t>
      </w:r>
      <w:r w:rsidR="004E4D07">
        <w:rPr>
          <w:color w:val="000000"/>
          <w:sz w:val="12"/>
          <w:szCs w:val="12"/>
        </w:rPr>
        <w:t xml:space="preserve">été </w:t>
      </w:r>
      <w:r w:rsidR="00B55ADC" w:rsidRPr="00B55ADC">
        <w:rPr>
          <w:color w:val="000000"/>
          <w:sz w:val="12"/>
          <w:szCs w:val="12"/>
        </w:rPr>
        <w:t>commencé</w:t>
      </w:r>
      <w:r w:rsidR="004E4D07">
        <w:rPr>
          <w:color w:val="000000"/>
          <w:sz w:val="12"/>
          <w:szCs w:val="12"/>
        </w:rPr>
        <w:t>s</w:t>
      </w:r>
      <w:r w:rsidR="00B55ADC" w:rsidRPr="00B55ADC">
        <w:rPr>
          <w:color w:val="000000"/>
          <w:sz w:val="12"/>
          <w:szCs w:val="12"/>
        </w:rPr>
        <w:t>. Interfor p</w:t>
      </w:r>
      <w:r w:rsidR="0020571B">
        <w:rPr>
          <w:color w:val="000000"/>
          <w:sz w:val="12"/>
          <w:szCs w:val="12"/>
        </w:rPr>
        <w:t>eut</w:t>
      </w:r>
      <w:r w:rsidR="00B55ADC" w:rsidRPr="00B55ADC">
        <w:rPr>
          <w:color w:val="000000"/>
          <w:sz w:val="12"/>
          <w:szCs w:val="12"/>
        </w:rPr>
        <w:t xml:space="preserve">, immédiatement </w:t>
      </w:r>
      <w:r w:rsidR="007A1658">
        <w:rPr>
          <w:color w:val="000000"/>
          <w:sz w:val="12"/>
          <w:szCs w:val="12"/>
        </w:rPr>
        <w:t>sur</w:t>
      </w:r>
      <w:r w:rsidR="00B55ADC" w:rsidRPr="00B55ADC">
        <w:rPr>
          <w:color w:val="000000"/>
          <w:sz w:val="12"/>
          <w:szCs w:val="12"/>
        </w:rPr>
        <w:t xml:space="preserve"> avis écrit, résilier l</w:t>
      </w:r>
      <w:r w:rsidR="007A1658">
        <w:rPr>
          <w:color w:val="000000"/>
          <w:sz w:val="12"/>
          <w:szCs w:val="12"/>
        </w:rPr>
        <w:t xml:space="preserve">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 en totalité ou en partie, sans responsabilité, </w:t>
      </w:r>
      <w:r w:rsidR="007E1545">
        <w:rPr>
          <w:color w:val="000000"/>
          <w:sz w:val="12"/>
          <w:szCs w:val="12"/>
        </w:rPr>
        <w:t xml:space="preserve">et </w:t>
      </w:r>
      <w:r w:rsidR="00B55ADC" w:rsidRPr="00B55ADC">
        <w:rPr>
          <w:color w:val="000000"/>
          <w:sz w:val="12"/>
          <w:szCs w:val="12"/>
        </w:rPr>
        <w:t>avec le droit au remboursement de ses frais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achat</w:t>
      </w:r>
      <w:r w:rsidR="0048538A">
        <w:rPr>
          <w:color w:val="000000"/>
          <w:sz w:val="12"/>
          <w:szCs w:val="12"/>
        </w:rPr>
        <w:t>, d’approvisionnement</w:t>
      </w:r>
      <w:r w:rsidR="00B55ADC" w:rsidRPr="00B55ADC">
        <w:rPr>
          <w:color w:val="000000"/>
          <w:sz w:val="12"/>
          <w:szCs w:val="12"/>
        </w:rPr>
        <w:t xml:space="preserve"> </w:t>
      </w:r>
      <w:r w:rsidR="00301F5B">
        <w:rPr>
          <w:color w:val="000000"/>
          <w:sz w:val="12"/>
          <w:szCs w:val="12"/>
        </w:rPr>
        <w:t>ou d’obtention</w:t>
      </w:r>
      <w:r w:rsidR="00B66BA1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 xml:space="preserve">de </w:t>
      </w:r>
      <w:r w:rsidR="00CE4FA4">
        <w:rPr>
          <w:color w:val="000000"/>
          <w:sz w:val="12"/>
          <w:szCs w:val="12"/>
        </w:rPr>
        <w:t xml:space="preserve">Biens/Services </w:t>
      </w:r>
      <w:r w:rsidR="00B55ADC" w:rsidRPr="00B55ADC">
        <w:rPr>
          <w:color w:val="000000"/>
          <w:sz w:val="12"/>
          <w:szCs w:val="12"/>
        </w:rPr>
        <w:t xml:space="preserve">de remplacement </w:t>
      </w:r>
      <w:r w:rsidR="0048538A">
        <w:rPr>
          <w:color w:val="000000"/>
          <w:sz w:val="12"/>
          <w:szCs w:val="12"/>
        </w:rPr>
        <w:t xml:space="preserve">dans les cas suivants </w:t>
      </w:r>
      <w:r w:rsidR="00B55ADC">
        <w:rPr>
          <w:color w:val="000000"/>
          <w:sz w:val="12"/>
          <w:szCs w:val="12"/>
        </w:rPr>
        <w:t>:</w:t>
      </w:r>
      <w:r w:rsidR="00B55ADC" w:rsidRPr="00B55ADC">
        <w:rPr>
          <w:color w:val="000000"/>
          <w:sz w:val="12"/>
          <w:szCs w:val="12"/>
        </w:rPr>
        <w:t xml:space="preserve"> a) </w:t>
      </w:r>
      <w:r w:rsidR="00C8283B">
        <w:rPr>
          <w:color w:val="000000"/>
          <w:sz w:val="12"/>
          <w:szCs w:val="12"/>
        </w:rPr>
        <w:t>l</w:t>
      </w:r>
      <w:r w:rsidR="00B55ADC" w:rsidRPr="00B55ADC">
        <w:rPr>
          <w:color w:val="000000"/>
          <w:sz w:val="12"/>
          <w:szCs w:val="12"/>
        </w:rPr>
        <w:t xml:space="preserve">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</w:t>
      </w:r>
      <w:r w:rsidR="009A06A4">
        <w:rPr>
          <w:color w:val="000000"/>
          <w:sz w:val="12"/>
          <w:szCs w:val="12"/>
        </w:rPr>
        <w:t>fait défaut de</w:t>
      </w:r>
      <w:r w:rsidR="00B55ADC" w:rsidRPr="00B55ADC">
        <w:rPr>
          <w:color w:val="000000"/>
          <w:sz w:val="12"/>
          <w:szCs w:val="12"/>
        </w:rPr>
        <w:t xml:space="preserve"> remédie</w:t>
      </w:r>
      <w:r w:rsidR="008F491A">
        <w:rPr>
          <w:color w:val="000000"/>
          <w:sz w:val="12"/>
          <w:szCs w:val="12"/>
        </w:rPr>
        <w:t>r</w:t>
      </w:r>
      <w:r w:rsidR="00B55ADC" w:rsidRPr="00B55ADC">
        <w:rPr>
          <w:color w:val="000000"/>
          <w:sz w:val="12"/>
          <w:szCs w:val="12"/>
        </w:rPr>
        <w:t xml:space="preserve"> à tout</w:t>
      </w:r>
      <w:r w:rsidR="00C8283B">
        <w:rPr>
          <w:color w:val="000000"/>
          <w:sz w:val="12"/>
          <w:szCs w:val="12"/>
        </w:rPr>
        <w:t>e violation des</w:t>
      </w:r>
      <w:r w:rsidR="00B55ADC" w:rsidRPr="00B55ADC">
        <w:rPr>
          <w:color w:val="000000"/>
          <w:sz w:val="12"/>
          <w:szCs w:val="12"/>
        </w:rPr>
        <w:t xml:space="preserve"> obligations qui lui incombent aux termes de la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>, y compris son défaut de livrer dans les délais prévus, après avoir reçu un avis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au moins </w:t>
      </w:r>
      <w:r w:rsidR="00AF396F">
        <w:rPr>
          <w:color w:val="000000"/>
          <w:sz w:val="12"/>
          <w:szCs w:val="12"/>
        </w:rPr>
        <w:t>deux (</w:t>
      </w:r>
      <w:r w:rsidR="00B55ADC" w:rsidRPr="00B55ADC">
        <w:rPr>
          <w:color w:val="000000"/>
          <w:sz w:val="12"/>
          <w:szCs w:val="12"/>
        </w:rPr>
        <w:t>2</w:t>
      </w:r>
      <w:r w:rsidR="00AF396F">
        <w:rPr>
          <w:color w:val="000000"/>
          <w:sz w:val="12"/>
          <w:szCs w:val="12"/>
        </w:rPr>
        <w:t>)</w:t>
      </w:r>
      <w:r w:rsidR="00B55ADC" w:rsidRPr="00B55ADC">
        <w:rPr>
          <w:color w:val="000000"/>
          <w:sz w:val="12"/>
          <w:szCs w:val="12"/>
        </w:rPr>
        <w:t xml:space="preserve"> jours ouvrables à cet effet; b) </w:t>
      </w:r>
      <w:r w:rsidR="00D8745A">
        <w:rPr>
          <w:color w:val="000000"/>
          <w:sz w:val="12"/>
          <w:szCs w:val="12"/>
        </w:rPr>
        <w:t>l</w:t>
      </w:r>
      <w:r w:rsidR="00B55ADC" w:rsidRPr="00B55ADC">
        <w:rPr>
          <w:color w:val="000000"/>
          <w:sz w:val="12"/>
          <w:szCs w:val="12"/>
        </w:rPr>
        <w:t xml:space="preserve">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ou, le cas échéant, son commandité, sa société mère directe ou indirecte ou son propriétaire véritable ultime devient </w:t>
      </w:r>
      <w:r w:rsidR="00E94FA1">
        <w:rPr>
          <w:color w:val="000000"/>
          <w:sz w:val="12"/>
          <w:szCs w:val="12"/>
        </w:rPr>
        <w:t xml:space="preserve">ou est réputé être </w:t>
      </w:r>
      <w:r w:rsidR="00B55ADC" w:rsidRPr="00B55ADC">
        <w:rPr>
          <w:color w:val="000000"/>
          <w:sz w:val="12"/>
          <w:szCs w:val="12"/>
        </w:rPr>
        <w:t>insolvable</w:t>
      </w:r>
      <w:r w:rsidR="007E6E3C">
        <w:rPr>
          <w:color w:val="000000"/>
          <w:sz w:val="12"/>
          <w:szCs w:val="12"/>
        </w:rPr>
        <w:t xml:space="preserve"> ou </w:t>
      </w:r>
      <w:r w:rsidR="00B55ADC" w:rsidRPr="00B55ADC">
        <w:rPr>
          <w:color w:val="000000"/>
          <w:sz w:val="12"/>
          <w:szCs w:val="12"/>
        </w:rPr>
        <w:t xml:space="preserve">failli ou fait une cession au profit des créanciers, ou un séquestre, un </w:t>
      </w:r>
      <w:r w:rsidR="009459AF">
        <w:rPr>
          <w:color w:val="000000"/>
          <w:sz w:val="12"/>
          <w:szCs w:val="12"/>
        </w:rPr>
        <w:t>syndic</w:t>
      </w:r>
      <w:r w:rsidR="00B55ADC" w:rsidRPr="00B55ADC">
        <w:rPr>
          <w:color w:val="000000"/>
          <w:sz w:val="12"/>
          <w:szCs w:val="12"/>
        </w:rPr>
        <w:t>, un administrateur provisoire ou un</w:t>
      </w:r>
      <w:r w:rsidR="00BE2780">
        <w:rPr>
          <w:color w:val="000000"/>
          <w:sz w:val="12"/>
          <w:szCs w:val="12"/>
        </w:rPr>
        <w:t>e personne</w:t>
      </w:r>
      <w:r w:rsidR="00B55ADC" w:rsidRPr="00B55ADC">
        <w:rPr>
          <w:color w:val="000000"/>
          <w:sz w:val="12"/>
          <w:szCs w:val="12"/>
        </w:rPr>
        <w:t xml:space="preserve"> équivalent</w:t>
      </w:r>
      <w:r w:rsidR="00BE2780">
        <w:rPr>
          <w:color w:val="000000"/>
          <w:sz w:val="12"/>
          <w:szCs w:val="12"/>
        </w:rPr>
        <w:t>e</w:t>
      </w:r>
      <w:r w:rsidR="00B55ADC" w:rsidRPr="00B55ADC">
        <w:rPr>
          <w:color w:val="000000"/>
          <w:sz w:val="12"/>
          <w:szCs w:val="12"/>
        </w:rPr>
        <w:t xml:space="preserve"> est nommé pour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ou, le cas échéant, son commandité, sa société mère directe ou indirecte ou son propriétaire véritable ultime; ou c) les principales activités commerciales du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>, ou la totalité de</w:t>
      </w:r>
      <w:r w:rsidR="0012221F">
        <w:rPr>
          <w:color w:val="000000"/>
          <w:sz w:val="12"/>
          <w:szCs w:val="12"/>
        </w:rPr>
        <w:t xml:space="preserve"> ses </w:t>
      </w:r>
      <w:r w:rsidR="0012221F" w:rsidRPr="0012221F">
        <w:rPr>
          <w:color w:val="000000"/>
          <w:sz w:val="12"/>
          <w:szCs w:val="12"/>
        </w:rPr>
        <w:t>activités commerciales</w:t>
      </w:r>
      <w:r w:rsidR="00B55ADC" w:rsidRPr="00B55ADC">
        <w:rPr>
          <w:color w:val="000000"/>
          <w:sz w:val="12"/>
          <w:szCs w:val="12"/>
        </w:rPr>
        <w:t xml:space="preserve">, sont suspendues de façon permanente </w:t>
      </w:r>
      <w:r w:rsidR="00D4166B">
        <w:rPr>
          <w:color w:val="000000"/>
          <w:sz w:val="12"/>
          <w:szCs w:val="12"/>
        </w:rPr>
        <w:t xml:space="preserve">ou suspendues </w:t>
      </w:r>
      <w:r w:rsidR="00B55ADC" w:rsidRPr="00B55ADC">
        <w:rPr>
          <w:color w:val="000000"/>
          <w:sz w:val="12"/>
          <w:szCs w:val="12"/>
        </w:rPr>
        <w:t xml:space="preserve">pendant au moins 45 jours. En cas de défaut du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, Interfor peut à son gré exiger du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, aux frais du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>, qu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il transfère le titre de propriété</w:t>
      </w:r>
      <w:r w:rsidR="00304C51">
        <w:rPr>
          <w:color w:val="000000"/>
          <w:sz w:val="12"/>
          <w:szCs w:val="12"/>
        </w:rPr>
        <w:t xml:space="preserve"> à l’égard de ce qui suit</w:t>
      </w:r>
      <w:r w:rsidR="00CB366C">
        <w:rPr>
          <w:color w:val="000000"/>
          <w:sz w:val="12"/>
          <w:szCs w:val="12"/>
        </w:rPr>
        <w:t xml:space="preserve"> ou</w:t>
      </w:r>
      <w:r w:rsidR="00B55ADC" w:rsidRPr="00B55ADC">
        <w:rPr>
          <w:color w:val="000000"/>
          <w:sz w:val="12"/>
          <w:szCs w:val="12"/>
        </w:rPr>
        <w:t xml:space="preserve"> </w:t>
      </w:r>
      <w:r w:rsidR="00BD76FD">
        <w:rPr>
          <w:color w:val="000000"/>
          <w:sz w:val="12"/>
          <w:szCs w:val="12"/>
        </w:rPr>
        <w:t>retourne</w:t>
      </w:r>
      <w:r w:rsidR="00B55ADC" w:rsidRPr="00B55ADC">
        <w:rPr>
          <w:color w:val="000000"/>
          <w:sz w:val="12"/>
          <w:szCs w:val="12"/>
        </w:rPr>
        <w:t xml:space="preserve"> et/ou l</w:t>
      </w:r>
      <w:r w:rsidR="00304C51">
        <w:rPr>
          <w:color w:val="000000"/>
          <w:sz w:val="12"/>
          <w:szCs w:val="12"/>
        </w:rPr>
        <w:t>ivre</w:t>
      </w:r>
      <w:r w:rsidR="00B55ADC" w:rsidRPr="00B55ADC">
        <w:rPr>
          <w:color w:val="000000"/>
          <w:sz w:val="12"/>
          <w:szCs w:val="12"/>
        </w:rPr>
        <w:t xml:space="preserve"> à Interfor</w:t>
      </w:r>
      <w:r w:rsidR="00B55ADC">
        <w:rPr>
          <w:color w:val="000000"/>
          <w:sz w:val="12"/>
          <w:szCs w:val="12"/>
        </w:rPr>
        <w:t> </w:t>
      </w:r>
      <w:r w:rsidR="00304C51">
        <w:rPr>
          <w:color w:val="000000"/>
          <w:sz w:val="12"/>
          <w:szCs w:val="12"/>
        </w:rPr>
        <w:t>ce qui suit</w:t>
      </w:r>
      <w:r w:rsidR="00B55ADC">
        <w:rPr>
          <w:color w:val="000000"/>
          <w:sz w:val="12"/>
          <w:szCs w:val="12"/>
        </w:rPr>
        <w:t>:</w:t>
      </w:r>
      <w:r w:rsidR="00B55ADC" w:rsidRPr="00B55ADC">
        <w:rPr>
          <w:color w:val="000000"/>
          <w:sz w:val="12"/>
          <w:szCs w:val="12"/>
        </w:rPr>
        <w:t xml:space="preserve"> i) tous les </w:t>
      </w:r>
      <w:r w:rsidR="00CE4FA4">
        <w:rPr>
          <w:color w:val="000000"/>
          <w:sz w:val="12"/>
          <w:szCs w:val="12"/>
        </w:rPr>
        <w:t>Biens</w:t>
      </w:r>
      <w:r w:rsidR="0099662A">
        <w:rPr>
          <w:color w:val="000000"/>
          <w:sz w:val="12"/>
          <w:szCs w:val="12"/>
        </w:rPr>
        <w:t>/Services</w:t>
      </w:r>
      <w:r w:rsidR="00B55ADC" w:rsidRPr="00B55ADC">
        <w:rPr>
          <w:color w:val="000000"/>
          <w:sz w:val="12"/>
          <w:szCs w:val="12"/>
        </w:rPr>
        <w:t xml:space="preserve"> achevés qui n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ont pas encore été livrés à Interfor; ii) les </w:t>
      </w:r>
      <w:r w:rsidR="00CE4FA4">
        <w:rPr>
          <w:color w:val="000000"/>
          <w:sz w:val="12"/>
          <w:szCs w:val="12"/>
        </w:rPr>
        <w:t>Biens</w:t>
      </w:r>
      <w:r w:rsidR="0099662A">
        <w:rPr>
          <w:color w:val="000000"/>
          <w:sz w:val="12"/>
          <w:szCs w:val="12"/>
        </w:rPr>
        <w:t>/Services</w:t>
      </w:r>
      <w:r w:rsidR="00B55ADC" w:rsidRPr="00B55ADC">
        <w:rPr>
          <w:color w:val="000000"/>
          <w:sz w:val="12"/>
          <w:szCs w:val="12"/>
        </w:rPr>
        <w:t xml:space="preserve"> partiellement </w:t>
      </w:r>
      <w:r w:rsidR="00BC575E">
        <w:rPr>
          <w:color w:val="000000"/>
          <w:sz w:val="12"/>
          <w:szCs w:val="12"/>
        </w:rPr>
        <w:t>achevé</w:t>
      </w:r>
      <w:r w:rsidR="00B55ADC" w:rsidRPr="00B55ADC">
        <w:rPr>
          <w:color w:val="000000"/>
          <w:sz w:val="12"/>
          <w:szCs w:val="12"/>
        </w:rPr>
        <w:t>s qu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Interfor juge nécessaires; iii) tout bien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Interfor en la possession du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>; et/ou iv) tous les renseignements confidentiels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Interfor.</w:t>
      </w:r>
    </w:p>
    <w:p w14:paraId="0A6ECB42" w14:textId="73958DD1" w:rsidR="00B55ADC" w:rsidRPr="003F6A1B" w:rsidRDefault="003F6A1B" w:rsidP="003F6A1B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3F6A1B">
        <w:rPr>
          <w:b/>
          <w:color w:val="000000"/>
          <w:sz w:val="12"/>
          <w:szCs w:val="12"/>
        </w:rPr>
        <w:t>CONFIDENTIALITÉ</w:t>
      </w:r>
      <w:r w:rsidRPr="00F63B0F">
        <w:rPr>
          <w:bCs/>
          <w:color w:val="000000"/>
          <w:sz w:val="12"/>
          <w:szCs w:val="12"/>
        </w:rPr>
        <w:t>.</w:t>
      </w:r>
      <w:r w:rsidRPr="003F6A1B">
        <w:rPr>
          <w:color w:val="000000"/>
          <w:sz w:val="12"/>
          <w:szCs w:val="12"/>
        </w:rPr>
        <w:t xml:space="preserve"> </w:t>
      </w:r>
      <w:r w:rsidR="00B55ADC" w:rsidRPr="003F6A1B">
        <w:rPr>
          <w:color w:val="000000"/>
          <w:sz w:val="12"/>
          <w:szCs w:val="12"/>
        </w:rPr>
        <w:t>Aucune des parties, sans le consentement de l’autre partie, ne divulguera ni ne communiquera à une personne</w:t>
      </w:r>
      <w:r w:rsidR="003E5D37">
        <w:rPr>
          <w:color w:val="000000"/>
          <w:sz w:val="12"/>
          <w:szCs w:val="12"/>
        </w:rPr>
        <w:t xml:space="preserve">, sauf </w:t>
      </w:r>
      <w:r w:rsidR="007321B9">
        <w:rPr>
          <w:color w:val="000000"/>
          <w:sz w:val="12"/>
          <w:szCs w:val="12"/>
        </w:rPr>
        <w:t>pour</w:t>
      </w:r>
      <w:r w:rsidR="00B82914">
        <w:rPr>
          <w:color w:val="000000"/>
          <w:sz w:val="12"/>
          <w:szCs w:val="12"/>
        </w:rPr>
        <w:t xml:space="preserve"> l’application</w:t>
      </w:r>
      <w:r w:rsidR="00B55ADC" w:rsidRPr="003F6A1B">
        <w:rPr>
          <w:color w:val="000000"/>
          <w:sz w:val="12"/>
          <w:szCs w:val="12"/>
        </w:rPr>
        <w:t xml:space="preserve"> </w:t>
      </w:r>
      <w:r w:rsidR="003E5D37">
        <w:rPr>
          <w:color w:val="000000"/>
          <w:sz w:val="12"/>
          <w:szCs w:val="12"/>
        </w:rPr>
        <w:t xml:space="preserve">de </w:t>
      </w:r>
      <w:r w:rsidR="00B55ADC" w:rsidRPr="003F6A1B">
        <w:rPr>
          <w:color w:val="000000"/>
          <w:sz w:val="12"/>
          <w:szCs w:val="12"/>
        </w:rPr>
        <w:t xml:space="preserve">la </w:t>
      </w:r>
      <w:r w:rsidR="006E7785">
        <w:rPr>
          <w:color w:val="000000"/>
          <w:sz w:val="12"/>
          <w:szCs w:val="12"/>
        </w:rPr>
        <w:t>Convention</w:t>
      </w:r>
      <w:r w:rsidR="00B55ADC" w:rsidRPr="003F6A1B">
        <w:rPr>
          <w:color w:val="000000"/>
          <w:sz w:val="12"/>
          <w:szCs w:val="12"/>
        </w:rPr>
        <w:t xml:space="preserve">, tout renseignement qui lui est communiqué par une autre partie, les modalités de la </w:t>
      </w:r>
      <w:r w:rsidR="006E7785">
        <w:rPr>
          <w:color w:val="000000"/>
          <w:sz w:val="12"/>
          <w:szCs w:val="12"/>
        </w:rPr>
        <w:t>Convention</w:t>
      </w:r>
      <w:r w:rsidR="00B55ADC" w:rsidRPr="003F6A1B">
        <w:rPr>
          <w:color w:val="000000"/>
          <w:sz w:val="12"/>
          <w:szCs w:val="12"/>
        </w:rPr>
        <w:t xml:space="preserve"> ou tout renseignement obtenu ou produit relativement à la </w:t>
      </w:r>
      <w:r w:rsidR="006E7785">
        <w:rPr>
          <w:color w:val="000000"/>
          <w:sz w:val="12"/>
          <w:szCs w:val="12"/>
        </w:rPr>
        <w:t>Convention</w:t>
      </w:r>
      <w:r w:rsidR="00B55ADC" w:rsidRPr="003F6A1B">
        <w:rPr>
          <w:color w:val="000000"/>
          <w:sz w:val="12"/>
          <w:szCs w:val="12"/>
        </w:rPr>
        <w:t xml:space="preserve"> </w:t>
      </w:r>
      <w:r w:rsidR="00DC70F6">
        <w:rPr>
          <w:color w:val="000000"/>
          <w:sz w:val="12"/>
          <w:szCs w:val="12"/>
        </w:rPr>
        <w:t>(</w:t>
      </w:r>
      <w:r w:rsidR="00B55ADC" w:rsidRPr="003F6A1B">
        <w:rPr>
          <w:color w:val="000000"/>
          <w:sz w:val="12"/>
          <w:szCs w:val="12"/>
        </w:rPr>
        <w:t>« </w:t>
      </w:r>
      <w:r w:rsidR="00501F0D">
        <w:rPr>
          <w:b/>
          <w:bCs/>
          <w:color w:val="000000"/>
          <w:sz w:val="12"/>
          <w:szCs w:val="12"/>
        </w:rPr>
        <w:t xml:space="preserve">Renseignements confidentiels </w:t>
      </w:r>
      <w:r w:rsidR="00B55ADC" w:rsidRPr="003F6A1B">
        <w:rPr>
          <w:color w:val="000000"/>
          <w:sz w:val="12"/>
          <w:szCs w:val="12"/>
        </w:rPr>
        <w:t xml:space="preserve">»). L’interdiction qui précède n’empêche pas une partie de </w:t>
      </w:r>
      <w:r w:rsidR="008301E1">
        <w:rPr>
          <w:color w:val="000000"/>
          <w:sz w:val="12"/>
          <w:szCs w:val="12"/>
        </w:rPr>
        <w:t xml:space="preserve">divulguer ou </w:t>
      </w:r>
      <w:r w:rsidR="00B55ADC" w:rsidRPr="003F6A1B">
        <w:rPr>
          <w:color w:val="000000"/>
          <w:sz w:val="12"/>
          <w:szCs w:val="12"/>
        </w:rPr>
        <w:t xml:space="preserve">communiquer des </w:t>
      </w:r>
      <w:r w:rsidR="00501F0D">
        <w:rPr>
          <w:color w:val="000000"/>
          <w:sz w:val="12"/>
          <w:szCs w:val="12"/>
        </w:rPr>
        <w:t xml:space="preserve">Renseignements confidentiels </w:t>
      </w:r>
      <w:r w:rsidR="008301E1">
        <w:rPr>
          <w:color w:val="000000"/>
          <w:sz w:val="12"/>
          <w:szCs w:val="12"/>
        </w:rPr>
        <w:t xml:space="preserve">dans les cas suivants </w:t>
      </w:r>
      <w:r w:rsidR="00B55ADC" w:rsidRPr="003F6A1B">
        <w:rPr>
          <w:color w:val="000000"/>
          <w:sz w:val="12"/>
          <w:szCs w:val="12"/>
        </w:rPr>
        <w:t xml:space="preserve">: a) </w:t>
      </w:r>
      <w:r w:rsidR="007C4B5A">
        <w:rPr>
          <w:color w:val="000000"/>
          <w:sz w:val="12"/>
          <w:szCs w:val="12"/>
        </w:rPr>
        <w:t xml:space="preserve">lorsque la partie les divulgue </w:t>
      </w:r>
      <w:r w:rsidR="00B55ADC" w:rsidRPr="003F6A1B">
        <w:rPr>
          <w:color w:val="000000"/>
          <w:sz w:val="12"/>
          <w:szCs w:val="12"/>
        </w:rPr>
        <w:t xml:space="preserve">à ses </w:t>
      </w:r>
      <w:r w:rsidR="00CE4FA4">
        <w:rPr>
          <w:color w:val="000000"/>
          <w:sz w:val="12"/>
          <w:szCs w:val="12"/>
        </w:rPr>
        <w:t>Représentants</w:t>
      </w:r>
      <w:r w:rsidR="00B55ADC" w:rsidRPr="003F6A1B">
        <w:rPr>
          <w:color w:val="000000"/>
          <w:sz w:val="12"/>
          <w:szCs w:val="12"/>
        </w:rPr>
        <w:t xml:space="preserve"> qui ont besoin d’avoir accès aux renseignements </w:t>
      </w:r>
      <w:r w:rsidR="008301E1">
        <w:rPr>
          <w:color w:val="000000"/>
          <w:sz w:val="12"/>
          <w:szCs w:val="12"/>
        </w:rPr>
        <w:t>pour l’application</w:t>
      </w:r>
      <w:r w:rsidR="00B55ADC" w:rsidRPr="003F6A1B">
        <w:rPr>
          <w:color w:val="000000"/>
          <w:sz w:val="12"/>
          <w:szCs w:val="12"/>
        </w:rPr>
        <w:t xml:space="preserve"> de la </w:t>
      </w:r>
      <w:r w:rsidR="006E7785">
        <w:rPr>
          <w:color w:val="000000"/>
          <w:sz w:val="12"/>
          <w:szCs w:val="12"/>
        </w:rPr>
        <w:t>Convention</w:t>
      </w:r>
      <w:r w:rsidR="00B55ADC" w:rsidRPr="003F6A1B">
        <w:rPr>
          <w:color w:val="000000"/>
          <w:sz w:val="12"/>
          <w:szCs w:val="12"/>
        </w:rPr>
        <w:t xml:space="preserve"> et qui sont informés de la nature confidentielle des </w:t>
      </w:r>
      <w:r w:rsidR="0043608D">
        <w:rPr>
          <w:color w:val="000000"/>
          <w:sz w:val="12"/>
          <w:szCs w:val="12"/>
        </w:rPr>
        <w:t>R</w:t>
      </w:r>
      <w:r w:rsidR="00B55ADC" w:rsidRPr="003F6A1B">
        <w:rPr>
          <w:color w:val="000000"/>
          <w:sz w:val="12"/>
          <w:szCs w:val="12"/>
        </w:rPr>
        <w:t xml:space="preserve">enseignements confidentiels; b) </w:t>
      </w:r>
      <w:r w:rsidR="00410266">
        <w:rPr>
          <w:color w:val="000000"/>
          <w:sz w:val="12"/>
          <w:szCs w:val="12"/>
        </w:rPr>
        <w:t>lorsque cela</w:t>
      </w:r>
      <w:r w:rsidR="00B55ADC" w:rsidRPr="003F6A1B">
        <w:rPr>
          <w:color w:val="000000"/>
          <w:sz w:val="12"/>
          <w:szCs w:val="12"/>
        </w:rPr>
        <w:t xml:space="preserve"> est ordonné ou exigé par une loi, une ordonnance judiciaire ou une </w:t>
      </w:r>
      <w:r w:rsidR="00501F0D">
        <w:rPr>
          <w:color w:val="000000"/>
          <w:sz w:val="12"/>
          <w:szCs w:val="12"/>
        </w:rPr>
        <w:t xml:space="preserve">Autorité gouvernementale </w:t>
      </w:r>
      <w:r w:rsidR="00B55ADC" w:rsidRPr="003F6A1B">
        <w:rPr>
          <w:color w:val="000000"/>
          <w:sz w:val="12"/>
          <w:szCs w:val="12"/>
        </w:rPr>
        <w:t xml:space="preserve">applicable; </w:t>
      </w:r>
      <w:r w:rsidR="00736343">
        <w:rPr>
          <w:color w:val="000000"/>
          <w:sz w:val="12"/>
          <w:szCs w:val="12"/>
        </w:rPr>
        <w:t xml:space="preserve">c) </w:t>
      </w:r>
      <w:r w:rsidR="000807ED">
        <w:rPr>
          <w:color w:val="000000"/>
          <w:sz w:val="12"/>
          <w:szCs w:val="12"/>
        </w:rPr>
        <w:t>lorsque</w:t>
      </w:r>
      <w:r w:rsidR="00BB4E03">
        <w:rPr>
          <w:color w:val="000000"/>
          <w:sz w:val="12"/>
          <w:szCs w:val="12"/>
        </w:rPr>
        <w:t xml:space="preserve"> la partie </w:t>
      </w:r>
      <w:r w:rsidR="000807ED">
        <w:rPr>
          <w:color w:val="000000"/>
          <w:sz w:val="12"/>
          <w:szCs w:val="12"/>
        </w:rPr>
        <w:t xml:space="preserve">en </w:t>
      </w:r>
      <w:r w:rsidR="0079438D">
        <w:rPr>
          <w:color w:val="000000"/>
          <w:sz w:val="12"/>
          <w:szCs w:val="12"/>
        </w:rPr>
        <w:t>a eu connaissance</w:t>
      </w:r>
      <w:r w:rsidR="00B55ADC" w:rsidRPr="003F6A1B">
        <w:rPr>
          <w:color w:val="000000"/>
          <w:sz w:val="12"/>
          <w:szCs w:val="12"/>
        </w:rPr>
        <w:t xml:space="preserve"> </w:t>
      </w:r>
      <w:r w:rsidR="00CE7206">
        <w:rPr>
          <w:color w:val="000000"/>
          <w:sz w:val="12"/>
          <w:szCs w:val="12"/>
        </w:rPr>
        <w:t>sur une base</w:t>
      </w:r>
      <w:r w:rsidR="00B55ADC" w:rsidRPr="003F6A1B">
        <w:rPr>
          <w:color w:val="000000"/>
          <w:sz w:val="12"/>
          <w:szCs w:val="12"/>
        </w:rPr>
        <w:t xml:space="preserve"> non confidentielle; d) </w:t>
      </w:r>
      <w:r w:rsidR="002E135A">
        <w:rPr>
          <w:color w:val="000000"/>
          <w:sz w:val="12"/>
          <w:szCs w:val="12"/>
        </w:rPr>
        <w:t xml:space="preserve">lorsqu’ils sont </w:t>
      </w:r>
      <w:r w:rsidR="00B55ADC" w:rsidRPr="003F6A1B">
        <w:rPr>
          <w:color w:val="000000"/>
          <w:sz w:val="12"/>
          <w:szCs w:val="12"/>
        </w:rPr>
        <w:t>dans le domaine public sans qu</w:t>
      </w:r>
      <w:r w:rsidR="00FC15C3">
        <w:rPr>
          <w:color w:val="000000"/>
          <w:sz w:val="12"/>
          <w:szCs w:val="12"/>
        </w:rPr>
        <w:t>e ce soit de la faute de la partie</w:t>
      </w:r>
      <w:r w:rsidR="00B55ADC" w:rsidRPr="003F6A1B">
        <w:rPr>
          <w:color w:val="000000"/>
          <w:sz w:val="12"/>
          <w:szCs w:val="12"/>
        </w:rPr>
        <w:t xml:space="preserve">; ou e) </w:t>
      </w:r>
      <w:r w:rsidR="00C4469A">
        <w:rPr>
          <w:color w:val="000000"/>
          <w:sz w:val="12"/>
          <w:szCs w:val="12"/>
        </w:rPr>
        <w:t>lorsque</w:t>
      </w:r>
      <w:r w:rsidR="00B76D41">
        <w:rPr>
          <w:color w:val="000000"/>
          <w:sz w:val="12"/>
          <w:szCs w:val="12"/>
        </w:rPr>
        <w:t xml:space="preserve"> la partie</w:t>
      </w:r>
      <w:r w:rsidR="00B55ADC" w:rsidRPr="003F6A1B">
        <w:rPr>
          <w:color w:val="000000"/>
          <w:sz w:val="12"/>
          <w:szCs w:val="12"/>
        </w:rPr>
        <w:t xml:space="preserve"> </w:t>
      </w:r>
      <w:r w:rsidR="00C4469A">
        <w:rPr>
          <w:color w:val="000000"/>
          <w:sz w:val="12"/>
          <w:szCs w:val="12"/>
        </w:rPr>
        <w:t xml:space="preserve">les </w:t>
      </w:r>
      <w:r w:rsidR="00B55ADC" w:rsidRPr="003F6A1B">
        <w:rPr>
          <w:color w:val="000000"/>
          <w:sz w:val="12"/>
          <w:szCs w:val="12"/>
        </w:rPr>
        <w:t xml:space="preserve">a légalement acquis auprès d’un tiers </w:t>
      </w:r>
      <w:r w:rsidR="00035DA2">
        <w:rPr>
          <w:color w:val="000000"/>
          <w:sz w:val="12"/>
          <w:szCs w:val="12"/>
        </w:rPr>
        <w:t>qui n’est pas connu</w:t>
      </w:r>
      <w:r w:rsidR="00B55ADC" w:rsidRPr="003F6A1B">
        <w:rPr>
          <w:color w:val="000000"/>
          <w:sz w:val="12"/>
          <w:szCs w:val="12"/>
        </w:rPr>
        <w:t xml:space="preserve"> ou ne serait pas cen</w:t>
      </w:r>
      <w:r w:rsidR="00A15180">
        <w:rPr>
          <w:color w:val="000000"/>
          <w:sz w:val="12"/>
          <w:szCs w:val="12"/>
        </w:rPr>
        <w:t>sé être connu</w:t>
      </w:r>
      <w:r w:rsidR="00B55ADC" w:rsidRPr="003F6A1B">
        <w:rPr>
          <w:color w:val="000000"/>
          <w:sz w:val="12"/>
          <w:szCs w:val="12"/>
        </w:rPr>
        <w:t xml:space="preserve">, après enquête raisonnable, </w:t>
      </w:r>
      <w:r w:rsidR="00A15180">
        <w:rPr>
          <w:color w:val="000000"/>
          <w:sz w:val="12"/>
          <w:szCs w:val="12"/>
        </w:rPr>
        <w:t xml:space="preserve">pour </w:t>
      </w:r>
      <w:r w:rsidR="00B55ADC" w:rsidRPr="003F6A1B">
        <w:rPr>
          <w:color w:val="000000"/>
          <w:sz w:val="12"/>
          <w:szCs w:val="12"/>
        </w:rPr>
        <w:t xml:space="preserve">être tenu de respecter une obligation de confidentialité envers l’autre partie. Chaque partie doit déployer des efforts raisonnables pour empêcher la divulgation de </w:t>
      </w:r>
      <w:r w:rsidR="00501F0D">
        <w:rPr>
          <w:color w:val="000000"/>
          <w:sz w:val="12"/>
          <w:szCs w:val="12"/>
        </w:rPr>
        <w:t xml:space="preserve">Renseignements confidentiels </w:t>
      </w:r>
      <w:r w:rsidR="00B55ADC" w:rsidRPr="003F6A1B">
        <w:rPr>
          <w:color w:val="000000"/>
          <w:sz w:val="12"/>
          <w:szCs w:val="12"/>
        </w:rPr>
        <w:t>de l’autre partie à une personne non autorisée. Chaque partie est responsable de tout</w:t>
      </w:r>
      <w:r w:rsidR="00481551">
        <w:rPr>
          <w:color w:val="000000"/>
          <w:sz w:val="12"/>
          <w:szCs w:val="12"/>
        </w:rPr>
        <w:t>e</w:t>
      </w:r>
      <w:r w:rsidR="00B55ADC" w:rsidRPr="003F6A1B">
        <w:rPr>
          <w:color w:val="000000"/>
          <w:sz w:val="12"/>
          <w:szCs w:val="12"/>
        </w:rPr>
        <w:t xml:space="preserve"> </w:t>
      </w:r>
      <w:r w:rsidR="00481551">
        <w:rPr>
          <w:color w:val="000000"/>
          <w:sz w:val="12"/>
          <w:szCs w:val="12"/>
        </w:rPr>
        <w:t>violation</w:t>
      </w:r>
      <w:r w:rsidR="00B55ADC" w:rsidRPr="003F6A1B">
        <w:rPr>
          <w:color w:val="000000"/>
          <w:sz w:val="12"/>
          <w:szCs w:val="12"/>
        </w:rPr>
        <w:t xml:space="preserve"> par ses </w:t>
      </w:r>
      <w:r w:rsidR="00CE4FA4">
        <w:rPr>
          <w:color w:val="000000"/>
          <w:sz w:val="12"/>
          <w:szCs w:val="12"/>
        </w:rPr>
        <w:t>Représentants</w:t>
      </w:r>
      <w:r w:rsidR="00B55ADC" w:rsidRPr="003F6A1B">
        <w:rPr>
          <w:color w:val="000000"/>
          <w:sz w:val="12"/>
          <w:szCs w:val="12"/>
        </w:rPr>
        <w:t xml:space="preserve"> </w:t>
      </w:r>
      <w:r w:rsidR="00481551">
        <w:rPr>
          <w:color w:val="000000"/>
          <w:sz w:val="12"/>
          <w:szCs w:val="12"/>
        </w:rPr>
        <w:t xml:space="preserve">des </w:t>
      </w:r>
      <w:r w:rsidR="00B55ADC" w:rsidRPr="003F6A1B">
        <w:rPr>
          <w:color w:val="000000"/>
          <w:sz w:val="12"/>
          <w:szCs w:val="12"/>
        </w:rPr>
        <w:t xml:space="preserve">obligations qui incombent </w:t>
      </w:r>
      <w:r w:rsidR="003D106F">
        <w:rPr>
          <w:color w:val="000000"/>
          <w:sz w:val="12"/>
          <w:szCs w:val="12"/>
        </w:rPr>
        <w:t xml:space="preserve">à cette partie </w:t>
      </w:r>
      <w:r w:rsidR="00B55ADC" w:rsidRPr="003F6A1B">
        <w:rPr>
          <w:color w:val="000000"/>
          <w:sz w:val="12"/>
          <w:szCs w:val="12"/>
        </w:rPr>
        <w:t>en vertu d</w:t>
      </w:r>
      <w:r w:rsidR="003D106F">
        <w:rPr>
          <w:color w:val="000000"/>
          <w:sz w:val="12"/>
          <w:szCs w:val="12"/>
        </w:rPr>
        <w:t>e la</w:t>
      </w:r>
      <w:r w:rsidR="00B55ADC" w:rsidRPr="003F6A1B">
        <w:rPr>
          <w:color w:val="000000"/>
          <w:sz w:val="12"/>
          <w:szCs w:val="12"/>
        </w:rPr>
        <w:t xml:space="preserve"> présent</w:t>
      </w:r>
      <w:r w:rsidR="003D106F">
        <w:rPr>
          <w:color w:val="000000"/>
          <w:sz w:val="12"/>
          <w:szCs w:val="12"/>
        </w:rPr>
        <w:t>e clause</w:t>
      </w:r>
      <w:r w:rsidR="00B55ADC" w:rsidRPr="003F6A1B">
        <w:rPr>
          <w:color w:val="000000"/>
          <w:sz w:val="12"/>
          <w:szCs w:val="12"/>
        </w:rPr>
        <w:t>.</w:t>
      </w:r>
    </w:p>
    <w:p w14:paraId="266DA871" w14:textId="0A995798" w:rsidR="00B55ADC" w:rsidRPr="003F6A1B" w:rsidRDefault="00B55ADC" w:rsidP="003F6A1B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bCs/>
          <w:color w:val="000000"/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CESSION ET SOUS-TRAITANCE</w:t>
      </w:r>
      <w:r w:rsidRPr="00F63B0F">
        <w:rPr>
          <w:bCs/>
          <w:color w:val="000000"/>
          <w:sz w:val="12"/>
          <w:szCs w:val="12"/>
        </w:rPr>
        <w:t>.</w:t>
      </w:r>
      <w:r w:rsidRPr="003F6A1B">
        <w:rPr>
          <w:b/>
          <w:color w:val="000000"/>
          <w:sz w:val="12"/>
          <w:szCs w:val="12"/>
        </w:rPr>
        <w:t xml:space="preserve"> </w:t>
      </w:r>
      <w:r w:rsidRPr="003F6A1B">
        <w:rPr>
          <w:bCs/>
          <w:color w:val="000000"/>
          <w:sz w:val="12"/>
          <w:szCs w:val="12"/>
        </w:rPr>
        <w:t xml:space="preserve">Le </w:t>
      </w:r>
      <w:r w:rsidR="00CE4FA4">
        <w:rPr>
          <w:bCs/>
          <w:color w:val="000000"/>
          <w:sz w:val="12"/>
          <w:szCs w:val="12"/>
        </w:rPr>
        <w:t>Fournisseur</w:t>
      </w:r>
      <w:r w:rsidRPr="003F6A1B">
        <w:rPr>
          <w:bCs/>
          <w:color w:val="000000"/>
          <w:sz w:val="12"/>
          <w:szCs w:val="12"/>
        </w:rPr>
        <w:t xml:space="preserve"> ne peut céder, </w:t>
      </w:r>
      <w:r w:rsidR="00853D9E">
        <w:rPr>
          <w:bCs/>
          <w:color w:val="000000"/>
          <w:sz w:val="12"/>
          <w:szCs w:val="12"/>
        </w:rPr>
        <w:t>transfér</w:t>
      </w:r>
      <w:r w:rsidRPr="003F6A1B">
        <w:rPr>
          <w:bCs/>
          <w:color w:val="000000"/>
          <w:sz w:val="12"/>
          <w:szCs w:val="12"/>
        </w:rPr>
        <w:t>er</w:t>
      </w:r>
      <w:r w:rsidR="001B7911">
        <w:rPr>
          <w:bCs/>
          <w:color w:val="000000"/>
          <w:sz w:val="12"/>
          <w:szCs w:val="12"/>
        </w:rPr>
        <w:t>,</w:t>
      </w:r>
      <w:r w:rsidR="00892588">
        <w:rPr>
          <w:bCs/>
          <w:color w:val="000000"/>
          <w:sz w:val="12"/>
          <w:szCs w:val="12"/>
        </w:rPr>
        <w:t xml:space="preserve"> </w:t>
      </w:r>
      <w:r w:rsidRPr="003F6A1B">
        <w:rPr>
          <w:bCs/>
          <w:color w:val="000000"/>
          <w:sz w:val="12"/>
          <w:szCs w:val="12"/>
        </w:rPr>
        <w:t xml:space="preserve">sous-traiter la </w:t>
      </w:r>
      <w:r w:rsidR="006E7785">
        <w:rPr>
          <w:bCs/>
          <w:color w:val="000000"/>
          <w:sz w:val="12"/>
          <w:szCs w:val="12"/>
        </w:rPr>
        <w:t>Convention</w:t>
      </w:r>
      <w:r w:rsidRPr="003F6A1B">
        <w:rPr>
          <w:bCs/>
          <w:color w:val="000000"/>
          <w:sz w:val="12"/>
          <w:szCs w:val="12"/>
        </w:rPr>
        <w:t xml:space="preserve"> ni ses droits ou obligations aux termes des présentes</w:t>
      </w:r>
      <w:r w:rsidR="005C0B76" w:rsidRPr="005C0B76">
        <w:rPr>
          <w:rFonts w:ascii="Times New Roman" w:eastAsiaTheme="minorHAnsi" w:hAnsi="Times New Roman" w:cs="Times New Roman"/>
          <w:bCs/>
          <w:color w:val="000000"/>
          <w:sz w:val="12"/>
          <w:szCs w:val="12"/>
        </w:rPr>
        <w:t xml:space="preserve"> </w:t>
      </w:r>
      <w:r w:rsidR="005C0B76" w:rsidRPr="005C0B76">
        <w:rPr>
          <w:bCs/>
          <w:color w:val="000000"/>
          <w:sz w:val="12"/>
          <w:szCs w:val="12"/>
        </w:rPr>
        <w:t xml:space="preserve">ou autrement </w:t>
      </w:r>
      <w:r w:rsidR="005C0B76">
        <w:rPr>
          <w:bCs/>
          <w:color w:val="000000"/>
          <w:sz w:val="12"/>
          <w:szCs w:val="12"/>
        </w:rPr>
        <w:t xml:space="preserve">les </w:t>
      </w:r>
      <w:r w:rsidR="005C0B76" w:rsidRPr="005C0B76">
        <w:rPr>
          <w:bCs/>
          <w:color w:val="000000"/>
          <w:sz w:val="12"/>
          <w:szCs w:val="12"/>
        </w:rPr>
        <w:t>aliéner</w:t>
      </w:r>
      <w:r w:rsidR="005C0B76">
        <w:rPr>
          <w:bCs/>
          <w:color w:val="000000"/>
          <w:sz w:val="12"/>
          <w:szCs w:val="12"/>
        </w:rPr>
        <w:t xml:space="preserve"> ou en disposer</w:t>
      </w:r>
      <w:r w:rsidRPr="003F6A1B">
        <w:rPr>
          <w:bCs/>
          <w:color w:val="000000"/>
          <w:sz w:val="12"/>
          <w:szCs w:val="12"/>
        </w:rPr>
        <w:t xml:space="preserve">, sans le consentement écrit préalable d’Interfor. Toute tentative de cession ou de transfert sans le consentement écrit préalable d’Interfor </w:t>
      </w:r>
      <w:r w:rsidR="0044280D">
        <w:rPr>
          <w:bCs/>
          <w:color w:val="000000"/>
          <w:sz w:val="12"/>
          <w:szCs w:val="12"/>
        </w:rPr>
        <w:t>est</w:t>
      </w:r>
      <w:r w:rsidRPr="003F6A1B">
        <w:rPr>
          <w:bCs/>
          <w:color w:val="000000"/>
          <w:sz w:val="12"/>
          <w:szCs w:val="12"/>
        </w:rPr>
        <w:t xml:space="preserve"> null</w:t>
      </w:r>
      <w:r w:rsidR="0044280D">
        <w:rPr>
          <w:bCs/>
          <w:color w:val="000000"/>
          <w:sz w:val="12"/>
          <w:szCs w:val="12"/>
        </w:rPr>
        <w:t>e et sans effet</w:t>
      </w:r>
      <w:r w:rsidRPr="003F6A1B">
        <w:rPr>
          <w:bCs/>
          <w:color w:val="000000"/>
          <w:sz w:val="12"/>
          <w:szCs w:val="12"/>
        </w:rPr>
        <w:t xml:space="preserve"> et Interfor n’a aucune obligation d’acheter des </w:t>
      </w:r>
      <w:r w:rsidR="00CE4FA4">
        <w:rPr>
          <w:bCs/>
          <w:color w:val="000000"/>
          <w:sz w:val="12"/>
          <w:szCs w:val="12"/>
        </w:rPr>
        <w:t>Biens</w:t>
      </w:r>
      <w:r w:rsidRPr="003F6A1B">
        <w:rPr>
          <w:bCs/>
          <w:color w:val="000000"/>
          <w:sz w:val="12"/>
          <w:szCs w:val="12"/>
        </w:rPr>
        <w:t xml:space="preserve"> ou des </w:t>
      </w:r>
      <w:r w:rsidR="00CE4FA4">
        <w:rPr>
          <w:bCs/>
          <w:color w:val="000000"/>
          <w:sz w:val="12"/>
          <w:szCs w:val="12"/>
        </w:rPr>
        <w:t>Services</w:t>
      </w:r>
      <w:r w:rsidRPr="003F6A1B">
        <w:rPr>
          <w:bCs/>
          <w:color w:val="000000"/>
          <w:sz w:val="12"/>
          <w:szCs w:val="12"/>
        </w:rPr>
        <w:t xml:space="preserve"> d’une autre personne aux termes d’une cession ou d’un transfert de la </w:t>
      </w:r>
      <w:r w:rsidR="006E7785">
        <w:rPr>
          <w:bCs/>
          <w:color w:val="000000"/>
          <w:sz w:val="12"/>
          <w:szCs w:val="12"/>
        </w:rPr>
        <w:t>Convention</w:t>
      </w:r>
      <w:r w:rsidRPr="003F6A1B">
        <w:rPr>
          <w:bCs/>
          <w:color w:val="000000"/>
          <w:sz w:val="12"/>
          <w:szCs w:val="12"/>
        </w:rPr>
        <w:t xml:space="preserve"> sans le consentement écrit préalable d’Interfor. La </w:t>
      </w:r>
      <w:r w:rsidR="006E7785">
        <w:rPr>
          <w:bCs/>
          <w:color w:val="000000"/>
          <w:sz w:val="12"/>
          <w:szCs w:val="12"/>
        </w:rPr>
        <w:t>Convention</w:t>
      </w:r>
      <w:r w:rsidRPr="003F6A1B">
        <w:rPr>
          <w:bCs/>
          <w:color w:val="000000"/>
          <w:sz w:val="12"/>
          <w:szCs w:val="12"/>
        </w:rPr>
        <w:t xml:space="preserve"> lie les successeurs et ayants droit autorisés respectifs des parties à la </w:t>
      </w:r>
      <w:r w:rsidR="006E7785">
        <w:rPr>
          <w:bCs/>
          <w:color w:val="000000"/>
          <w:sz w:val="12"/>
          <w:szCs w:val="12"/>
        </w:rPr>
        <w:t>Convention</w:t>
      </w:r>
      <w:r w:rsidRPr="003F6A1B">
        <w:rPr>
          <w:bCs/>
          <w:color w:val="000000"/>
          <w:sz w:val="12"/>
          <w:szCs w:val="12"/>
        </w:rPr>
        <w:t xml:space="preserve"> et s’applique à leur profit.</w:t>
      </w:r>
    </w:p>
    <w:p w14:paraId="5515F303" w14:textId="68CF25DE" w:rsidR="00B55ADC" w:rsidRPr="00B55ADC" w:rsidRDefault="003F6A1B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AVIS</w:t>
      </w:r>
      <w:r w:rsidRPr="00F63B0F">
        <w:rPr>
          <w:bCs/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>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exception des factures remises par voie électronique 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e</w:t>
      </w:r>
      <w:r w:rsidR="00EB4F14">
        <w:rPr>
          <w:color w:val="000000"/>
          <w:sz w:val="12"/>
          <w:szCs w:val="12"/>
        </w:rPr>
        <w:t>mplacement</w:t>
      </w:r>
      <w:r w:rsidR="00B55ADC" w:rsidRPr="00B55ADC">
        <w:rPr>
          <w:color w:val="000000"/>
          <w:sz w:val="12"/>
          <w:szCs w:val="12"/>
        </w:rPr>
        <w:t xml:space="preserve"> indiqué par 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comme étant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endroit où les factures peuvent être envoyées (qui seront réputées avoir été reçues au moment de leur remise), tout avis donné aux termes de la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 ou relativement à celle-ci est donné par écrit et remis par courriel, télécopieur, messagerie ou courrier recommandé ou certifié </w:t>
      </w:r>
      <w:r w:rsidR="00F249F2">
        <w:rPr>
          <w:color w:val="000000"/>
          <w:sz w:val="12"/>
          <w:szCs w:val="12"/>
        </w:rPr>
        <w:t>sous pli</w:t>
      </w:r>
      <w:r w:rsidR="00B55ADC" w:rsidRPr="00B55ADC">
        <w:rPr>
          <w:color w:val="000000"/>
          <w:sz w:val="12"/>
          <w:szCs w:val="12"/>
        </w:rPr>
        <w:t xml:space="preserve"> affranchi, 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adresse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une partie indiquée sur la première page du bon de </w:t>
      </w:r>
      <w:r w:rsidR="00F249F2">
        <w:rPr>
          <w:color w:val="000000"/>
          <w:sz w:val="12"/>
          <w:szCs w:val="12"/>
        </w:rPr>
        <w:t>commande</w:t>
      </w:r>
      <w:r w:rsidR="00B55ADC" w:rsidRPr="00B55ADC">
        <w:rPr>
          <w:color w:val="000000"/>
          <w:sz w:val="12"/>
          <w:szCs w:val="12"/>
        </w:rPr>
        <w:t xml:space="preserve"> ou à toute autre adresse que cette partie </w:t>
      </w:r>
      <w:r w:rsidR="00A27963">
        <w:rPr>
          <w:color w:val="000000"/>
          <w:sz w:val="12"/>
          <w:szCs w:val="12"/>
        </w:rPr>
        <w:t xml:space="preserve">peut </w:t>
      </w:r>
      <w:r w:rsidR="00B55ADC" w:rsidRPr="00B55ADC">
        <w:rPr>
          <w:color w:val="000000"/>
          <w:sz w:val="12"/>
          <w:szCs w:val="12"/>
        </w:rPr>
        <w:t>désign</w:t>
      </w:r>
      <w:r w:rsidR="00A27963">
        <w:rPr>
          <w:color w:val="000000"/>
          <w:sz w:val="12"/>
          <w:szCs w:val="12"/>
        </w:rPr>
        <w:t>er</w:t>
      </w:r>
      <w:r w:rsidR="00B55ADC" w:rsidRPr="00B55ADC">
        <w:rPr>
          <w:color w:val="000000"/>
          <w:sz w:val="12"/>
          <w:szCs w:val="12"/>
        </w:rPr>
        <w:t xml:space="preserve"> par avis écrit</w:t>
      </w:r>
      <w:r w:rsidR="00A27963">
        <w:rPr>
          <w:color w:val="000000"/>
          <w:sz w:val="12"/>
          <w:szCs w:val="12"/>
        </w:rPr>
        <w:t xml:space="preserve">. </w:t>
      </w:r>
      <w:r w:rsidR="00B55ADC" w:rsidRPr="00B55ADC">
        <w:rPr>
          <w:color w:val="000000"/>
          <w:sz w:val="12"/>
          <w:szCs w:val="12"/>
        </w:rPr>
        <w:t>Tout avis ainsi donné est réputé valablement remis lorsqu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il est remis par poste recommandée ou par messager 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adresse de l</w:t>
      </w:r>
      <w:r w:rsidR="00662BD5">
        <w:rPr>
          <w:color w:val="000000"/>
          <w:sz w:val="12"/>
          <w:szCs w:val="12"/>
        </w:rPr>
        <w:t>a partie d</w:t>
      </w:r>
      <w:r w:rsidR="00966B6F">
        <w:rPr>
          <w:color w:val="000000"/>
          <w:sz w:val="12"/>
          <w:szCs w:val="12"/>
        </w:rPr>
        <w:t>estinataire</w:t>
      </w:r>
      <w:r w:rsidR="00B55ADC" w:rsidRPr="00B55ADC">
        <w:rPr>
          <w:color w:val="000000"/>
          <w:sz w:val="12"/>
          <w:szCs w:val="12"/>
        </w:rPr>
        <w:t xml:space="preserve"> pour </w:t>
      </w:r>
      <w:r w:rsidR="00966B6F">
        <w:rPr>
          <w:color w:val="000000"/>
          <w:sz w:val="12"/>
          <w:szCs w:val="12"/>
        </w:rPr>
        <w:t xml:space="preserve">les </w:t>
      </w:r>
      <w:r w:rsidR="00B55ADC" w:rsidRPr="00B55ADC">
        <w:rPr>
          <w:color w:val="000000"/>
          <w:sz w:val="12"/>
          <w:szCs w:val="12"/>
        </w:rPr>
        <w:t>avis, ou lorsqu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</w:t>
      </w:r>
      <w:r w:rsidR="00652C17">
        <w:rPr>
          <w:color w:val="000000"/>
          <w:sz w:val="12"/>
          <w:szCs w:val="12"/>
        </w:rPr>
        <w:t>e confirmation</w:t>
      </w:r>
      <w:r w:rsidR="00B55ADC" w:rsidRPr="00B55ADC">
        <w:rPr>
          <w:color w:val="000000"/>
          <w:sz w:val="12"/>
          <w:szCs w:val="12"/>
        </w:rPr>
        <w:t xml:space="preserve"> de livraison par télécopieur ou par courriel est reçu</w:t>
      </w:r>
      <w:r w:rsidR="00652C17">
        <w:rPr>
          <w:color w:val="000000"/>
          <w:sz w:val="12"/>
          <w:szCs w:val="12"/>
        </w:rPr>
        <w:t>e</w:t>
      </w:r>
      <w:r w:rsidR="00B55ADC" w:rsidRPr="00B55ADC">
        <w:rPr>
          <w:color w:val="000000"/>
          <w:sz w:val="12"/>
          <w:szCs w:val="12"/>
        </w:rPr>
        <w:t xml:space="preserve"> par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expéditeur, pourvu que cette livraison soit effectuée ou que la confirmation de livraison soit reçue avant 17 h 00 un jour ouvrable dans le territoire de l</w:t>
      </w:r>
      <w:r w:rsidR="00652C17">
        <w:rPr>
          <w:color w:val="000000"/>
          <w:sz w:val="12"/>
          <w:szCs w:val="12"/>
        </w:rPr>
        <w:t>a partie destinataire</w:t>
      </w:r>
      <w:r w:rsidR="00B55ADC" w:rsidRPr="00B55ADC">
        <w:rPr>
          <w:color w:val="000000"/>
          <w:sz w:val="12"/>
          <w:szCs w:val="12"/>
        </w:rPr>
        <w:t xml:space="preserve">. Sinon, cet avis, </w:t>
      </w:r>
      <w:r w:rsidR="00A57A52">
        <w:rPr>
          <w:color w:val="000000"/>
          <w:sz w:val="12"/>
          <w:szCs w:val="12"/>
        </w:rPr>
        <w:t xml:space="preserve">requête, </w:t>
      </w:r>
      <w:r w:rsidR="00B55ADC" w:rsidRPr="00B55ADC">
        <w:rPr>
          <w:color w:val="000000"/>
          <w:sz w:val="12"/>
          <w:szCs w:val="12"/>
        </w:rPr>
        <w:t>demande</w:t>
      </w:r>
      <w:r w:rsidR="00A57A52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>ou directive sera réputé</w:t>
      </w:r>
      <w:r w:rsidR="001E1829">
        <w:rPr>
          <w:color w:val="000000"/>
          <w:sz w:val="12"/>
          <w:szCs w:val="12"/>
        </w:rPr>
        <w:t>e</w:t>
      </w:r>
      <w:r w:rsidR="00B55ADC" w:rsidRPr="00B55ADC">
        <w:rPr>
          <w:color w:val="000000"/>
          <w:sz w:val="12"/>
          <w:szCs w:val="12"/>
        </w:rPr>
        <w:t xml:space="preserve"> avoir été donné</w:t>
      </w:r>
      <w:r w:rsidR="001E1829">
        <w:rPr>
          <w:color w:val="000000"/>
          <w:sz w:val="12"/>
          <w:szCs w:val="12"/>
        </w:rPr>
        <w:t>e</w:t>
      </w:r>
      <w:r w:rsidR="00B55ADC" w:rsidRPr="00B55ADC">
        <w:rPr>
          <w:color w:val="000000"/>
          <w:sz w:val="12"/>
          <w:szCs w:val="12"/>
        </w:rPr>
        <w:t xml:space="preserve"> et reçu</w:t>
      </w:r>
      <w:r w:rsidR="001E1829">
        <w:rPr>
          <w:color w:val="000000"/>
          <w:sz w:val="12"/>
          <w:szCs w:val="12"/>
        </w:rPr>
        <w:t>e</w:t>
      </w:r>
      <w:r w:rsidR="00B55ADC" w:rsidRPr="00B55ADC">
        <w:rPr>
          <w:color w:val="000000"/>
          <w:sz w:val="12"/>
          <w:szCs w:val="12"/>
        </w:rPr>
        <w:t xml:space="preserve"> le jour ouvrable suivant. Toute demande ou tout avis effectivement reçu par l</w:t>
      </w:r>
      <w:r w:rsidR="0009606E">
        <w:rPr>
          <w:color w:val="000000"/>
          <w:sz w:val="12"/>
          <w:szCs w:val="12"/>
        </w:rPr>
        <w:t>a partie</w:t>
      </w:r>
      <w:r w:rsidR="00B55ADC" w:rsidRPr="00B55ADC">
        <w:rPr>
          <w:color w:val="000000"/>
          <w:sz w:val="12"/>
          <w:szCs w:val="12"/>
        </w:rPr>
        <w:t xml:space="preserve"> destinataire est réputé </w:t>
      </w:r>
      <w:r w:rsidR="00886C4A">
        <w:rPr>
          <w:color w:val="000000"/>
          <w:sz w:val="12"/>
          <w:szCs w:val="12"/>
        </w:rPr>
        <w:t xml:space="preserve">avoir été </w:t>
      </w:r>
      <w:r w:rsidR="00B55ADC" w:rsidRPr="00B55ADC">
        <w:rPr>
          <w:color w:val="000000"/>
          <w:sz w:val="12"/>
          <w:szCs w:val="12"/>
        </w:rPr>
        <w:t>valablement donné en vertu des présentes.</w:t>
      </w:r>
    </w:p>
    <w:p w14:paraId="3699D286" w14:textId="5475470E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DÉLAI</w:t>
      </w:r>
      <w:r w:rsidR="008C11C4">
        <w:rPr>
          <w:b/>
          <w:color w:val="000000"/>
          <w:sz w:val="12"/>
          <w:szCs w:val="12"/>
        </w:rPr>
        <w:t>S</w:t>
      </w:r>
      <w:r w:rsidRPr="00B55ADC">
        <w:rPr>
          <w:b/>
          <w:color w:val="000000"/>
          <w:sz w:val="12"/>
          <w:szCs w:val="12"/>
        </w:rPr>
        <w:t xml:space="preserve"> D</w:t>
      </w:r>
      <w:r w:rsidR="00F63B0F">
        <w:rPr>
          <w:b/>
          <w:color w:val="000000"/>
          <w:sz w:val="12"/>
          <w:szCs w:val="12"/>
        </w:rPr>
        <w:t>E RIGUEUR</w:t>
      </w:r>
      <w:r w:rsidRPr="00B55ADC">
        <w:rPr>
          <w:color w:val="000000"/>
          <w:sz w:val="12"/>
          <w:szCs w:val="12"/>
        </w:rPr>
        <w:t>. Le</w:t>
      </w:r>
      <w:r w:rsidR="0031377A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délai</w:t>
      </w:r>
      <w:r w:rsidR="0031377A">
        <w:rPr>
          <w:color w:val="000000"/>
          <w:sz w:val="12"/>
          <w:szCs w:val="12"/>
        </w:rPr>
        <w:t xml:space="preserve">s </w:t>
      </w:r>
      <w:r w:rsidR="001E1829">
        <w:rPr>
          <w:color w:val="000000"/>
          <w:sz w:val="12"/>
          <w:szCs w:val="12"/>
        </w:rPr>
        <w:t>stipulés dans la Convention sont des délais de rigueur.</w:t>
      </w:r>
    </w:p>
    <w:p w14:paraId="420F6703" w14:textId="77777777" w:rsidR="001E1829" w:rsidRDefault="00B55ADC" w:rsidP="001E1829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RENONCIATION ET CONSENTEMENT</w:t>
      </w:r>
      <w:r w:rsidRPr="00B55ADC">
        <w:rPr>
          <w:color w:val="000000"/>
          <w:sz w:val="12"/>
          <w:szCs w:val="12"/>
        </w:rPr>
        <w:t xml:space="preserve">. </w:t>
      </w:r>
      <w:r w:rsidR="001E1829" w:rsidRPr="00752176">
        <w:rPr>
          <w:color w:val="000000"/>
          <w:sz w:val="12"/>
          <w:szCs w:val="12"/>
        </w:rPr>
        <w:t xml:space="preserve">Aucun consentement ni renonciation, exprès ou implicite, par une partie à l’égard de ses obligations aux termes de la Convention ne sera valide, à moins qu’il ne soit donné par écrit. </w:t>
      </w:r>
      <w:r w:rsidR="001E1829">
        <w:rPr>
          <w:color w:val="000000"/>
          <w:sz w:val="12"/>
          <w:szCs w:val="12"/>
        </w:rPr>
        <w:t>Ce consentement ou renonciation</w:t>
      </w:r>
      <w:r w:rsidR="001E1829" w:rsidRPr="00752176">
        <w:rPr>
          <w:color w:val="000000"/>
          <w:sz w:val="12"/>
          <w:szCs w:val="12"/>
        </w:rPr>
        <w:t xml:space="preserve"> ne peut être invoqué à titre de consentement ou de renonciation de toute autre obligation, </w:t>
      </w:r>
      <w:r w:rsidR="001E1829">
        <w:rPr>
          <w:color w:val="000000"/>
          <w:sz w:val="12"/>
          <w:szCs w:val="12"/>
        </w:rPr>
        <w:t>ou à titre de renonciation</w:t>
      </w:r>
      <w:r w:rsidR="001E1829" w:rsidRPr="00752176">
        <w:rPr>
          <w:color w:val="000000"/>
          <w:sz w:val="12"/>
          <w:szCs w:val="12"/>
        </w:rPr>
        <w:t xml:space="preserve"> générale aux termes de la Convention</w:t>
      </w:r>
      <w:r w:rsidR="001E1829">
        <w:rPr>
          <w:color w:val="000000"/>
          <w:sz w:val="12"/>
          <w:szCs w:val="12"/>
        </w:rPr>
        <w:t xml:space="preserve">. </w:t>
      </w:r>
    </w:p>
    <w:p w14:paraId="20FA967A" w14:textId="650AA789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D</w:t>
      </w:r>
      <w:r w:rsidR="00F63B0F">
        <w:rPr>
          <w:b/>
          <w:color w:val="000000"/>
          <w:sz w:val="12"/>
          <w:szCs w:val="12"/>
        </w:rPr>
        <w:t>IVISIBILITÉ</w:t>
      </w:r>
      <w:r w:rsidR="00F63B0F" w:rsidRPr="00F63B0F">
        <w:rPr>
          <w:bCs/>
          <w:color w:val="000000"/>
          <w:sz w:val="12"/>
          <w:szCs w:val="12"/>
        </w:rPr>
        <w:t>.</w:t>
      </w:r>
      <w:r w:rsidRPr="00B55ADC">
        <w:rPr>
          <w:color w:val="000000"/>
          <w:sz w:val="12"/>
          <w:szCs w:val="12"/>
        </w:rPr>
        <w:t xml:space="preserve"> </w:t>
      </w:r>
      <w:r w:rsidR="00981D1F">
        <w:rPr>
          <w:color w:val="000000"/>
          <w:sz w:val="12"/>
          <w:szCs w:val="12"/>
        </w:rPr>
        <w:t xml:space="preserve">Une </w:t>
      </w:r>
      <w:r w:rsidRPr="00B55ADC">
        <w:rPr>
          <w:color w:val="000000"/>
          <w:sz w:val="12"/>
          <w:szCs w:val="12"/>
        </w:rPr>
        <w:t>nullité, illégalité ou inopposabilité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une disposition de l</w:t>
      </w:r>
      <w:r w:rsidR="00530742">
        <w:rPr>
          <w:color w:val="000000"/>
          <w:sz w:val="12"/>
          <w:szCs w:val="12"/>
        </w:rPr>
        <w:t xml:space="preserve">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 dans un territoire </w:t>
      </w:r>
      <w:r w:rsidR="00981D1F">
        <w:rPr>
          <w:color w:val="000000"/>
          <w:sz w:val="12"/>
          <w:szCs w:val="12"/>
        </w:rPr>
        <w:t>ne touche</w:t>
      </w:r>
      <w:r w:rsidR="00BE31B3">
        <w:rPr>
          <w:color w:val="000000"/>
          <w:sz w:val="12"/>
          <w:szCs w:val="12"/>
        </w:rPr>
        <w:t xml:space="preserve"> pas</w:t>
      </w:r>
      <w:r w:rsidRPr="00B55ADC">
        <w:rPr>
          <w:color w:val="000000"/>
          <w:sz w:val="12"/>
          <w:szCs w:val="12"/>
        </w:rPr>
        <w:t xml:space="preserve"> sa validité, sa légalité </w:t>
      </w:r>
      <w:r w:rsidR="00BE31B3">
        <w:rPr>
          <w:color w:val="000000"/>
          <w:sz w:val="12"/>
          <w:szCs w:val="12"/>
        </w:rPr>
        <w:t xml:space="preserve">ou son opposabilité </w:t>
      </w:r>
      <w:r w:rsidRPr="00B55ADC">
        <w:rPr>
          <w:color w:val="000000"/>
          <w:sz w:val="12"/>
          <w:szCs w:val="12"/>
        </w:rPr>
        <w:t>dans un autre territoire, ni la validité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une autre disposition de l</w:t>
      </w:r>
      <w:r w:rsidR="00BE31B3">
        <w:rPr>
          <w:color w:val="000000"/>
          <w:sz w:val="12"/>
          <w:szCs w:val="12"/>
        </w:rPr>
        <w:t xml:space="preserve">a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>.</w:t>
      </w:r>
    </w:p>
    <w:p w14:paraId="60543FF3" w14:textId="5322E7CA" w:rsidR="00B55ADC" w:rsidRPr="00B55ADC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HONORAIRES</w:t>
      </w:r>
      <w:r w:rsidRPr="00B55ADC">
        <w:rPr>
          <w:color w:val="000000"/>
          <w:sz w:val="12"/>
          <w:szCs w:val="12"/>
        </w:rPr>
        <w:t xml:space="preserve"> </w:t>
      </w:r>
      <w:r w:rsidRPr="003F6A1B">
        <w:rPr>
          <w:b/>
          <w:bCs/>
          <w:color w:val="000000"/>
          <w:sz w:val="12"/>
          <w:szCs w:val="12"/>
        </w:rPr>
        <w:t>D</w:t>
      </w:r>
      <w:r w:rsidR="00C908FF">
        <w:rPr>
          <w:b/>
          <w:bCs/>
          <w:color w:val="000000"/>
          <w:sz w:val="12"/>
          <w:szCs w:val="12"/>
        </w:rPr>
        <w:t>’AVOCATS</w:t>
      </w:r>
      <w:r w:rsidRPr="00B55ADC">
        <w:rPr>
          <w:color w:val="000000"/>
          <w:sz w:val="12"/>
          <w:szCs w:val="12"/>
        </w:rPr>
        <w:t xml:space="preserve">. En cas de litige ou de poursuite </w:t>
      </w:r>
      <w:r w:rsidR="00B545CF">
        <w:rPr>
          <w:color w:val="000000"/>
          <w:sz w:val="12"/>
          <w:szCs w:val="12"/>
        </w:rPr>
        <w:t xml:space="preserve">judiciaire </w:t>
      </w:r>
      <w:r w:rsidRPr="00B55ADC">
        <w:rPr>
          <w:color w:val="000000"/>
          <w:sz w:val="12"/>
          <w:szCs w:val="12"/>
        </w:rPr>
        <w:t xml:space="preserve">découlant de la présente </w:t>
      </w:r>
      <w:r w:rsidR="006E7785">
        <w:rPr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 ou s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 xml:space="preserve">y rapportant, la partie </w:t>
      </w:r>
      <w:r w:rsidR="00667C94">
        <w:rPr>
          <w:color w:val="000000"/>
          <w:sz w:val="12"/>
          <w:szCs w:val="12"/>
        </w:rPr>
        <w:t xml:space="preserve">ayant gain de </w:t>
      </w:r>
      <w:r w:rsidRPr="00B55ADC">
        <w:rPr>
          <w:color w:val="000000"/>
          <w:sz w:val="12"/>
          <w:szCs w:val="12"/>
        </w:rPr>
        <w:t>cause a le droit de recouvrer tous les frais de litige, y compris les honoraires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avocat</w:t>
      </w:r>
      <w:r w:rsidR="00667C94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 </w:t>
      </w:r>
      <w:r w:rsidR="000307BD" w:rsidRPr="00892588">
        <w:rPr>
          <w:color w:val="000000"/>
          <w:sz w:val="12"/>
          <w:szCs w:val="12"/>
        </w:rPr>
        <w:lastRenderedPageBreak/>
        <w:t>raisonnablement encourus et non excessifs ou abusifs</w:t>
      </w:r>
      <w:r w:rsidR="000307BD">
        <w:rPr>
          <w:color w:val="000000"/>
          <w:sz w:val="12"/>
          <w:szCs w:val="12"/>
        </w:rPr>
        <w:t xml:space="preserve"> </w:t>
      </w:r>
      <w:r w:rsidRPr="00B55ADC">
        <w:rPr>
          <w:color w:val="000000"/>
          <w:sz w:val="12"/>
          <w:szCs w:val="12"/>
        </w:rPr>
        <w:t>et d</w:t>
      </w:r>
      <w:r>
        <w:rPr>
          <w:color w:val="000000"/>
          <w:sz w:val="12"/>
          <w:szCs w:val="12"/>
        </w:rPr>
        <w:t>’</w:t>
      </w:r>
      <w:r w:rsidRPr="00B55ADC">
        <w:rPr>
          <w:color w:val="000000"/>
          <w:sz w:val="12"/>
          <w:szCs w:val="12"/>
        </w:rPr>
        <w:t>expert</w:t>
      </w:r>
      <w:r w:rsidR="00667C94">
        <w:rPr>
          <w:color w:val="000000"/>
          <w:sz w:val="12"/>
          <w:szCs w:val="12"/>
        </w:rPr>
        <w:t>s</w:t>
      </w:r>
      <w:r w:rsidRPr="00B55ADC">
        <w:rPr>
          <w:color w:val="000000"/>
          <w:sz w:val="12"/>
          <w:szCs w:val="12"/>
        </w:rPr>
        <w:t xml:space="preserve">, qui peuvent être engagés </w:t>
      </w:r>
      <w:r w:rsidR="00E05F53">
        <w:rPr>
          <w:color w:val="000000"/>
          <w:sz w:val="12"/>
          <w:szCs w:val="12"/>
        </w:rPr>
        <w:t xml:space="preserve">ou encourus </w:t>
      </w:r>
      <w:r w:rsidRPr="00B55ADC">
        <w:rPr>
          <w:color w:val="000000"/>
          <w:sz w:val="12"/>
          <w:szCs w:val="12"/>
        </w:rPr>
        <w:t>au procès, en appel, en révision ou dans une procédure de faillite.</w:t>
      </w:r>
    </w:p>
    <w:p w14:paraId="23CE2385" w14:textId="7FDE23A4" w:rsidR="00B55ADC" w:rsidRPr="00B55ADC" w:rsidRDefault="003F6A1B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ABSENCE DE TIERS BÉNÉFICIAIRE</w:t>
      </w:r>
      <w:r w:rsidR="00B55ADC" w:rsidRPr="00F63B0F">
        <w:rPr>
          <w:bCs/>
          <w:color w:val="000000"/>
          <w:sz w:val="12"/>
          <w:szCs w:val="12"/>
        </w:rPr>
        <w:t>.</w:t>
      </w:r>
      <w:r w:rsidR="00B55ADC" w:rsidRPr="00B55ADC">
        <w:rPr>
          <w:color w:val="000000"/>
          <w:sz w:val="12"/>
          <w:szCs w:val="12"/>
        </w:rPr>
        <w:t xml:space="preserve"> Aucune disposition de la présente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 n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habilite une </w:t>
      </w:r>
      <w:r w:rsidR="0050471E">
        <w:rPr>
          <w:color w:val="000000"/>
          <w:sz w:val="12"/>
          <w:szCs w:val="12"/>
        </w:rPr>
        <w:t xml:space="preserve">autre </w:t>
      </w:r>
      <w:r w:rsidR="00B55ADC" w:rsidRPr="00B55ADC">
        <w:rPr>
          <w:color w:val="000000"/>
          <w:sz w:val="12"/>
          <w:szCs w:val="12"/>
        </w:rPr>
        <w:t xml:space="preserve">personne que les parties à </w:t>
      </w:r>
      <w:r w:rsidR="0050471E">
        <w:rPr>
          <w:color w:val="000000"/>
          <w:sz w:val="12"/>
          <w:szCs w:val="12"/>
        </w:rPr>
        <w:t xml:space="preserve">l’égard de </w:t>
      </w:r>
      <w:r w:rsidR="00B55ADC" w:rsidRPr="00B55ADC">
        <w:rPr>
          <w:color w:val="000000"/>
          <w:sz w:val="12"/>
          <w:szCs w:val="12"/>
        </w:rPr>
        <w:t>quelque réclamation, cause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action, recours ou autre droit de quelque nature que ce soit </w:t>
      </w:r>
      <w:r w:rsidR="00E57638">
        <w:rPr>
          <w:color w:val="000000"/>
          <w:sz w:val="12"/>
          <w:szCs w:val="12"/>
        </w:rPr>
        <w:t xml:space="preserve">relativement </w:t>
      </w:r>
      <w:r w:rsidR="00B55ADC" w:rsidRPr="00B55ADC">
        <w:rPr>
          <w:color w:val="000000"/>
          <w:sz w:val="12"/>
          <w:szCs w:val="12"/>
        </w:rPr>
        <w:t>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objet des présentes.</w:t>
      </w:r>
    </w:p>
    <w:p w14:paraId="37A7B4E7" w14:textId="3EB8F069" w:rsidR="00B55ADC" w:rsidRPr="00B55ADC" w:rsidRDefault="003F6A1B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 xml:space="preserve">AVIS </w:t>
      </w:r>
      <w:r w:rsidR="005F7110">
        <w:rPr>
          <w:b/>
          <w:color w:val="000000"/>
          <w:sz w:val="12"/>
          <w:szCs w:val="12"/>
        </w:rPr>
        <w:t xml:space="preserve">ET CONSEILS </w:t>
      </w:r>
      <w:r w:rsidRPr="00B55ADC">
        <w:rPr>
          <w:b/>
          <w:color w:val="000000"/>
          <w:sz w:val="12"/>
          <w:szCs w:val="12"/>
        </w:rPr>
        <w:t>INDÉPENDANT</w:t>
      </w:r>
      <w:r w:rsidR="005F7110">
        <w:rPr>
          <w:b/>
          <w:color w:val="000000"/>
          <w:sz w:val="12"/>
          <w:szCs w:val="12"/>
        </w:rPr>
        <w:t>S</w:t>
      </w:r>
      <w:r w:rsidR="00F63B0F" w:rsidRPr="00F63B0F">
        <w:rPr>
          <w:bCs/>
          <w:color w:val="000000"/>
          <w:sz w:val="12"/>
          <w:szCs w:val="12"/>
        </w:rPr>
        <w:t>.</w:t>
      </w:r>
      <w:r w:rsidRPr="00F63B0F">
        <w:rPr>
          <w:bCs/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 xml:space="preserve">Le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déclare </w:t>
      </w:r>
      <w:r w:rsidR="00C80542">
        <w:rPr>
          <w:color w:val="000000"/>
          <w:sz w:val="12"/>
          <w:szCs w:val="12"/>
        </w:rPr>
        <w:t>ce qui suit</w:t>
      </w:r>
      <w:r w:rsidR="00B55ADC">
        <w:rPr>
          <w:color w:val="000000"/>
          <w:sz w:val="12"/>
          <w:szCs w:val="12"/>
        </w:rPr>
        <w:t> :</w:t>
      </w:r>
      <w:r w:rsidR="00B55ADC" w:rsidRPr="00B55ADC">
        <w:rPr>
          <w:color w:val="000000"/>
          <w:sz w:val="12"/>
          <w:szCs w:val="12"/>
        </w:rPr>
        <w:t xml:space="preserve"> a) </w:t>
      </w:r>
      <w:r w:rsidR="00C80542">
        <w:rPr>
          <w:color w:val="000000"/>
          <w:sz w:val="12"/>
          <w:szCs w:val="12"/>
        </w:rPr>
        <w:t>il a lu</w:t>
      </w:r>
      <w:r w:rsidR="00B55ADC" w:rsidRPr="00B55ADC">
        <w:rPr>
          <w:color w:val="000000"/>
          <w:sz w:val="12"/>
          <w:szCs w:val="12"/>
        </w:rPr>
        <w:t xml:space="preserve"> et compr</w:t>
      </w:r>
      <w:r w:rsidR="00C80542">
        <w:rPr>
          <w:color w:val="000000"/>
          <w:sz w:val="12"/>
          <w:szCs w:val="12"/>
        </w:rPr>
        <w:t>is</w:t>
      </w:r>
      <w:r w:rsidR="00B55ADC" w:rsidRPr="00B55ADC">
        <w:rPr>
          <w:color w:val="000000"/>
          <w:sz w:val="12"/>
          <w:szCs w:val="12"/>
        </w:rPr>
        <w:t xml:space="preserve"> le contenu, les modalités et les effets de la présente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 et y consent volontairement; b) </w:t>
      </w:r>
      <w:r w:rsidR="00C80542">
        <w:rPr>
          <w:color w:val="000000"/>
          <w:sz w:val="12"/>
          <w:szCs w:val="12"/>
        </w:rPr>
        <w:t xml:space="preserve">il </w:t>
      </w:r>
      <w:r w:rsidR="00B55ADC" w:rsidRPr="00B55ADC">
        <w:rPr>
          <w:color w:val="000000"/>
          <w:sz w:val="12"/>
          <w:szCs w:val="12"/>
        </w:rPr>
        <w:t xml:space="preserve">a eu la possibilité et le temps nécessaire pour demander des </w:t>
      </w:r>
      <w:r w:rsidR="005F7110">
        <w:rPr>
          <w:color w:val="000000"/>
          <w:sz w:val="12"/>
          <w:szCs w:val="12"/>
        </w:rPr>
        <w:t xml:space="preserve">avis et </w:t>
      </w:r>
      <w:r w:rsidR="00B55ADC" w:rsidRPr="00B55ADC">
        <w:rPr>
          <w:color w:val="000000"/>
          <w:sz w:val="12"/>
          <w:szCs w:val="12"/>
        </w:rPr>
        <w:t xml:space="preserve">conseils indépendants à ses conseillers juridiques, financiers et fiscaux avant de conclure la présente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; et c) </w:t>
      </w:r>
      <w:r w:rsidR="005F7110">
        <w:rPr>
          <w:color w:val="000000"/>
          <w:sz w:val="12"/>
          <w:szCs w:val="12"/>
        </w:rPr>
        <w:t xml:space="preserve">il </w:t>
      </w:r>
      <w:r w:rsidR="00B55ADC" w:rsidRPr="00B55ADC">
        <w:rPr>
          <w:color w:val="000000"/>
          <w:sz w:val="12"/>
          <w:szCs w:val="12"/>
        </w:rPr>
        <w:t>a exercé son propre jugement indépendant et n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a pas été indûment influencé par quelque déclaration, </w:t>
      </w:r>
      <w:r w:rsidR="00B20A70">
        <w:rPr>
          <w:color w:val="000000"/>
          <w:sz w:val="12"/>
          <w:szCs w:val="12"/>
        </w:rPr>
        <w:t>énoncé</w:t>
      </w:r>
      <w:r w:rsidR="00B55ADC" w:rsidRPr="00B55ADC">
        <w:rPr>
          <w:color w:val="000000"/>
          <w:sz w:val="12"/>
          <w:szCs w:val="12"/>
        </w:rPr>
        <w:t xml:space="preserve"> ou conduite de quelque nature que ce soit de la part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Interfor ou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une autre partie.</w:t>
      </w:r>
    </w:p>
    <w:p w14:paraId="5318D060" w14:textId="3D2BEB0B" w:rsidR="00B55ADC" w:rsidRPr="00B55ADC" w:rsidRDefault="00B20A70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>
        <w:rPr>
          <w:b/>
          <w:color w:val="000000"/>
          <w:sz w:val="12"/>
          <w:szCs w:val="12"/>
        </w:rPr>
        <w:t>INTERPRÉTA</w:t>
      </w:r>
      <w:r w:rsidR="00B55ADC" w:rsidRPr="00B55ADC">
        <w:rPr>
          <w:b/>
          <w:color w:val="000000"/>
          <w:sz w:val="12"/>
          <w:szCs w:val="12"/>
        </w:rPr>
        <w:t>TION</w:t>
      </w:r>
      <w:r w:rsidR="00B55ADC" w:rsidRPr="00B55ADC">
        <w:rPr>
          <w:color w:val="000000"/>
          <w:sz w:val="12"/>
          <w:szCs w:val="12"/>
        </w:rPr>
        <w:t xml:space="preserve">. La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 </w:t>
      </w:r>
      <w:r w:rsidR="00A16044">
        <w:rPr>
          <w:color w:val="000000"/>
          <w:sz w:val="12"/>
          <w:szCs w:val="12"/>
        </w:rPr>
        <w:t>est au bénéfice exclusif d</w:t>
      </w:r>
      <w:r w:rsidR="00B55ADC" w:rsidRPr="00B55ADC">
        <w:rPr>
          <w:color w:val="000000"/>
          <w:sz w:val="12"/>
          <w:szCs w:val="12"/>
        </w:rPr>
        <w:t xml:space="preserve">u </w:t>
      </w:r>
      <w:r w:rsidR="00CE4FA4">
        <w:rPr>
          <w:color w:val="000000"/>
          <w:sz w:val="12"/>
          <w:szCs w:val="12"/>
        </w:rPr>
        <w:t>Fournisseur</w:t>
      </w:r>
      <w:r w:rsidR="00B55ADC" w:rsidRPr="00B55ADC">
        <w:rPr>
          <w:color w:val="000000"/>
          <w:sz w:val="12"/>
          <w:szCs w:val="12"/>
        </w:rPr>
        <w:t xml:space="preserve"> et </w:t>
      </w:r>
      <w:r w:rsidR="00A16044">
        <w:rPr>
          <w:color w:val="000000"/>
          <w:sz w:val="12"/>
          <w:szCs w:val="12"/>
        </w:rPr>
        <w:t>d’</w:t>
      </w:r>
      <w:r w:rsidR="00B55ADC" w:rsidRPr="00B55ADC">
        <w:rPr>
          <w:color w:val="000000"/>
          <w:sz w:val="12"/>
          <w:szCs w:val="12"/>
        </w:rPr>
        <w:t xml:space="preserve">Interfor et non </w:t>
      </w:r>
      <w:r w:rsidR="00A16044">
        <w:rPr>
          <w:color w:val="000000"/>
          <w:sz w:val="12"/>
          <w:szCs w:val="12"/>
        </w:rPr>
        <w:t>d’</w:t>
      </w:r>
      <w:r w:rsidR="00B55ADC" w:rsidRPr="00B55ADC">
        <w:rPr>
          <w:color w:val="000000"/>
          <w:sz w:val="12"/>
          <w:szCs w:val="12"/>
        </w:rPr>
        <w:t xml:space="preserve">un tiers. La division de la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 en </w:t>
      </w:r>
      <w:r w:rsidR="00F07C57">
        <w:rPr>
          <w:color w:val="000000"/>
          <w:sz w:val="12"/>
          <w:szCs w:val="12"/>
        </w:rPr>
        <w:t>clause</w:t>
      </w:r>
      <w:r w:rsidR="00B55ADC" w:rsidRPr="00B55ADC">
        <w:rPr>
          <w:color w:val="000000"/>
          <w:sz w:val="12"/>
          <w:szCs w:val="12"/>
        </w:rPr>
        <w:t>s et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insertion de rubriques ne </w:t>
      </w:r>
      <w:r w:rsidR="00326320" w:rsidRPr="00B55ADC">
        <w:rPr>
          <w:color w:val="000000"/>
          <w:sz w:val="12"/>
          <w:szCs w:val="12"/>
        </w:rPr>
        <w:t>vise</w:t>
      </w:r>
      <w:r w:rsidR="007A6876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>qu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à en faciliter la consultation et n</w:t>
      </w:r>
      <w:r w:rsidR="00F07C57">
        <w:rPr>
          <w:color w:val="000000"/>
          <w:sz w:val="12"/>
          <w:szCs w:val="12"/>
        </w:rPr>
        <w:t>’ont</w:t>
      </w:r>
      <w:r w:rsidR="00B55ADC" w:rsidRPr="00B55ADC">
        <w:rPr>
          <w:color w:val="000000"/>
          <w:sz w:val="12"/>
          <w:szCs w:val="12"/>
        </w:rPr>
        <w:t xml:space="preserve"> pas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incidence sur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 xml:space="preserve">interprétation de la </w:t>
      </w:r>
      <w:r w:rsidR="006E7785">
        <w:rPr>
          <w:color w:val="000000"/>
          <w:sz w:val="12"/>
          <w:szCs w:val="12"/>
        </w:rPr>
        <w:t>Convention</w:t>
      </w:r>
      <w:r w:rsidR="00B55ADC" w:rsidRPr="00B55ADC">
        <w:rPr>
          <w:color w:val="000000"/>
          <w:sz w:val="12"/>
          <w:szCs w:val="12"/>
        </w:rPr>
        <w:t xml:space="preserve">. Sauf indication contraire, dans les présentes </w:t>
      </w:r>
      <w:r w:rsidR="00892588">
        <w:rPr>
          <w:color w:val="000000"/>
          <w:sz w:val="12"/>
          <w:szCs w:val="12"/>
        </w:rPr>
        <w:t>Conditions g</w:t>
      </w:r>
      <w:r w:rsidR="00CE4FA4">
        <w:rPr>
          <w:color w:val="000000"/>
          <w:sz w:val="12"/>
          <w:szCs w:val="12"/>
        </w:rPr>
        <w:t>énérales</w:t>
      </w:r>
      <w:r w:rsidR="00B55ADC" w:rsidRPr="00B55ADC">
        <w:rPr>
          <w:color w:val="000000"/>
          <w:sz w:val="12"/>
          <w:szCs w:val="12"/>
        </w:rPr>
        <w:t>,</w:t>
      </w:r>
      <w:r w:rsidR="00715121">
        <w:rPr>
          <w:color w:val="000000"/>
          <w:sz w:val="12"/>
          <w:szCs w:val="12"/>
        </w:rPr>
        <w:t xml:space="preserve"> </w:t>
      </w:r>
      <w:r w:rsidR="00B55ADC">
        <w:rPr>
          <w:color w:val="000000"/>
          <w:sz w:val="12"/>
          <w:szCs w:val="12"/>
        </w:rPr>
        <w:t>« </w:t>
      </w:r>
      <w:r w:rsidR="00715121">
        <w:rPr>
          <w:color w:val="000000"/>
          <w:sz w:val="12"/>
          <w:szCs w:val="12"/>
        </w:rPr>
        <w:t>clause</w:t>
      </w:r>
      <w:r w:rsidR="00B55ADC">
        <w:rPr>
          <w:color w:val="000000"/>
          <w:sz w:val="12"/>
          <w:szCs w:val="12"/>
        </w:rPr>
        <w:t> »</w:t>
      </w:r>
      <w:r w:rsidR="00B55ADC" w:rsidRPr="00B55ADC">
        <w:rPr>
          <w:color w:val="000000"/>
          <w:sz w:val="12"/>
          <w:szCs w:val="12"/>
        </w:rPr>
        <w:t xml:space="preserve"> renvoie à une </w:t>
      </w:r>
      <w:r w:rsidR="00715121">
        <w:rPr>
          <w:color w:val="000000"/>
          <w:sz w:val="12"/>
          <w:szCs w:val="12"/>
        </w:rPr>
        <w:t>clause</w:t>
      </w:r>
      <w:r w:rsidR="00B55ADC" w:rsidRPr="00B55ADC">
        <w:rPr>
          <w:color w:val="000000"/>
          <w:sz w:val="12"/>
          <w:szCs w:val="12"/>
        </w:rPr>
        <w:t xml:space="preserve"> des présentes </w:t>
      </w:r>
      <w:r w:rsidR="00892588">
        <w:rPr>
          <w:color w:val="000000"/>
          <w:sz w:val="12"/>
          <w:szCs w:val="12"/>
        </w:rPr>
        <w:t>Conditions g</w:t>
      </w:r>
      <w:r w:rsidR="00CE4FA4">
        <w:rPr>
          <w:color w:val="000000"/>
          <w:sz w:val="12"/>
          <w:szCs w:val="12"/>
        </w:rPr>
        <w:t>énérales</w:t>
      </w:r>
      <w:r w:rsidR="00B55ADC" w:rsidRPr="00B55ADC">
        <w:rPr>
          <w:color w:val="000000"/>
          <w:sz w:val="12"/>
          <w:szCs w:val="12"/>
        </w:rPr>
        <w:t>. Toute règle d</w:t>
      </w:r>
      <w:r w:rsidR="006F72B1">
        <w:rPr>
          <w:color w:val="000000"/>
          <w:sz w:val="12"/>
          <w:szCs w:val="12"/>
        </w:rPr>
        <w:t>’interprétation</w:t>
      </w:r>
      <w:r w:rsidR="00B55ADC" w:rsidRPr="00B55ADC">
        <w:rPr>
          <w:color w:val="000000"/>
          <w:sz w:val="12"/>
          <w:szCs w:val="12"/>
        </w:rPr>
        <w:t xml:space="preserve"> qui</w:t>
      </w:r>
      <w:r w:rsidR="00D634D3">
        <w:rPr>
          <w:color w:val="000000"/>
          <w:sz w:val="12"/>
          <w:szCs w:val="12"/>
        </w:rPr>
        <w:t xml:space="preserve"> indique</w:t>
      </w:r>
      <w:r w:rsidR="00F45248">
        <w:rPr>
          <w:color w:val="000000"/>
          <w:sz w:val="12"/>
          <w:szCs w:val="12"/>
        </w:rPr>
        <w:t xml:space="preserve"> qu’</w:t>
      </w:r>
      <w:r w:rsidR="00B55ADC" w:rsidRPr="00B55ADC">
        <w:rPr>
          <w:color w:val="000000"/>
          <w:sz w:val="12"/>
          <w:szCs w:val="12"/>
        </w:rPr>
        <w:t>en cas d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ambiguïté</w:t>
      </w:r>
      <w:r w:rsidR="00326320">
        <w:rPr>
          <w:color w:val="000000"/>
          <w:sz w:val="12"/>
          <w:szCs w:val="12"/>
        </w:rPr>
        <w:t>,</w:t>
      </w:r>
      <w:r w:rsidR="00D634D3">
        <w:rPr>
          <w:color w:val="000000"/>
          <w:sz w:val="12"/>
          <w:szCs w:val="12"/>
        </w:rPr>
        <w:t xml:space="preserve"> </w:t>
      </w:r>
      <w:r w:rsidR="00B55ADC" w:rsidRPr="00B55ADC">
        <w:rPr>
          <w:color w:val="000000"/>
          <w:sz w:val="12"/>
          <w:szCs w:val="12"/>
        </w:rPr>
        <w:t>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entente doit être interprétée à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encontre de la partie responsable de la rédaction ou de la préparation de l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entente</w:t>
      </w:r>
      <w:r w:rsidR="00326320">
        <w:rPr>
          <w:color w:val="000000"/>
          <w:sz w:val="12"/>
          <w:szCs w:val="12"/>
        </w:rPr>
        <w:t>,</w:t>
      </w:r>
      <w:r w:rsidR="00B55ADC" w:rsidRPr="00B55ADC">
        <w:rPr>
          <w:color w:val="000000"/>
          <w:sz w:val="12"/>
          <w:szCs w:val="12"/>
        </w:rPr>
        <w:t xml:space="preserve"> ne s</w:t>
      </w:r>
      <w:r w:rsidR="00B55ADC">
        <w:rPr>
          <w:color w:val="000000"/>
          <w:sz w:val="12"/>
          <w:szCs w:val="12"/>
        </w:rPr>
        <w:t>’</w:t>
      </w:r>
      <w:r w:rsidR="00B55ADC" w:rsidRPr="00B55ADC">
        <w:rPr>
          <w:color w:val="000000"/>
          <w:sz w:val="12"/>
          <w:szCs w:val="12"/>
        </w:rPr>
        <w:t>applique pas.</w:t>
      </w:r>
      <w:r w:rsidR="00892588">
        <w:rPr>
          <w:color w:val="000000"/>
          <w:sz w:val="12"/>
          <w:szCs w:val="12"/>
        </w:rPr>
        <w:t xml:space="preserve"> </w:t>
      </w:r>
      <w:r w:rsidR="00892588">
        <w:rPr>
          <w:sz w:val="12"/>
          <w:szCs w:val="12"/>
        </w:rPr>
        <w:t>En cas de divergence, d’inexactitude, d’omission ou d’erreur apparaissant dans la traduction de la présente Convention, la version anglaise</w:t>
      </w:r>
      <w:r w:rsidR="00543CCB">
        <w:rPr>
          <w:sz w:val="12"/>
          <w:szCs w:val="12"/>
        </w:rPr>
        <w:t>,</w:t>
      </w:r>
      <w:r w:rsidR="00892588">
        <w:rPr>
          <w:sz w:val="12"/>
          <w:szCs w:val="12"/>
        </w:rPr>
        <w:t xml:space="preserve"> </w:t>
      </w:r>
      <w:r w:rsidR="00CA79C1">
        <w:rPr>
          <w:sz w:val="12"/>
          <w:szCs w:val="12"/>
        </w:rPr>
        <w:t xml:space="preserve">qui peut être consultée sur le site Web d’Interfor à l’adresse  </w:t>
      </w:r>
      <w:hyperlink r:id="rId17" w:history="1">
        <w:r w:rsidR="00CA79C1" w:rsidRPr="00CA79C1">
          <w:rPr>
            <w:rStyle w:val="Hyperlink"/>
            <w:sz w:val="12"/>
            <w:szCs w:val="12"/>
          </w:rPr>
          <w:t>https://interfor.com/terms-and-conditions/</w:t>
        </w:r>
      </w:hyperlink>
      <w:r w:rsidR="00543CCB" w:rsidRPr="00543CCB">
        <w:rPr>
          <w:rStyle w:val="Hyperlink"/>
          <w:color w:val="auto"/>
          <w:sz w:val="12"/>
          <w:szCs w:val="12"/>
          <w:u w:val="none"/>
        </w:rPr>
        <w:t>,</w:t>
      </w:r>
      <w:r w:rsidR="00CA79C1" w:rsidRPr="00543CCB">
        <w:rPr>
          <w:sz w:val="12"/>
          <w:szCs w:val="12"/>
        </w:rPr>
        <w:t xml:space="preserve"> </w:t>
      </w:r>
      <w:r w:rsidR="00892588">
        <w:rPr>
          <w:sz w:val="12"/>
          <w:szCs w:val="12"/>
        </w:rPr>
        <w:t xml:space="preserve">prévaudra.  </w:t>
      </w:r>
    </w:p>
    <w:p w14:paraId="40874890" w14:textId="3D9FFFF7" w:rsidR="00B55ADC" w:rsidRPr="00B55ADC" w:rsidRDefault="003F6A1B" w:rsidP="00AC1ABC">
      <w:pPr>
        <w:pStyle w:val="ListParagraph"/>
        <w:numPr>
          <w:ilvl w:val="0"/>
          <w:numId w:val="1"/>
        </w:numPr>
        <w:tabs>
          <w:tab w:val="left" w:pos="436"/>
        </w:tabs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DROIT APPLICABLE.</w:t>
      </w:r>
      <w:r w:rsidRPr="00B55ADC">
        <w:rPr>
          <w:color w:val="000000"/>
          <w:sz w:val="12"/>
          <w:szCs w:val="12"/>
        </w:rPr>
        <w:t xml:space="preserve"> </w:t>
      </w:r>
      <w:r w:rsidR="00300682" w:rsidRPr="00B55ADC">
        <w:rPr>
          <w:color w:val="000000"/>
          <w:sz w:val="12"/>
          <w:szCs w:val="12"/>
        </w:rPr>
        <w:t xml:space="preserve">La </w:t>
      </w:r>
      <w:r w:rsidR="006E7785">
        <w:rPr>
          <w:color w:val="000000"/>
          <w:sz w:val="12"/>
          <w:szCs w:val="12"/>
        </w:rPr>
        <w:t>Convention</w:t>
      </w:r>
      <w:r w:rsidR="00300682" w:rsidRPr="00B55ADC">
        <w:rPr>
          <w:color w:val="000000"/>
          <w:sz w:val="12"/>
          <w:szCs w:val="12"/>
        </w:rPr>
        <w:t xml:space="preserve"> est régie </w:t>
      </w:r>
      <w:r w:rsidR="00300682">
        <w:rPr>
          <w:color w:val="000000"/>
          <w:sz w:val="12"/>
          <w:szCs w:val="12"/>
        </w:rPr>
        <w:t>et interprétée conformément aux</w:t>
      </w:r>
      <w:r w:rsidR="00300682" w:rsidRPr="00B55ADC">
        <w:rPr>
          <w:color w:val="000000"/>
          <w:sz w:val="12"/>
          <w:szCs w:val="12"/>
        </w:rPr>
        <w:t xml:space="preserve"> loi</w:t>
      </w:r>
      <w:r w:rsidR="0004104E">
        <w:rPr>
          <w:color w:val="000000"/>
          <w:sz w:val="12"/>
          <w:szCs w:val="12"/>
        </w:rPr>
        <w:t>s</w:t>
      </w:r>
      <w:r w:rsidR="00892588">
        <w:rPr>
          <w:color w:val="000000"/>
          <w:sz w:val="12"/>
          <w:szCs w:val="12"/>
        </w:rPr>
        <w:t xml:space="preserve"> applicable</w:t>
      </w:r>
      <w:r w:rsidR="00300682" w:rsidRPr="00B55ADC">
        <w:rPr>
          <w:color w:val="000000"/>
          <w:sz w:val="12"/>
          <w:szCs w:val="12"/>
        </w:rPr>
        <w:t xml:space="preserve">s : a) </w:t>
      </w:r>
      <w:r w:rsidR="00300682">
        <w:rPr>
          <w:color w:val="000000"/>
          <w:sz w:val="12"/>
          <w:szCs w:val="12"/>
        </w:rPr>
        <w:t xml:space="preserve">de la province du Québec dans le cas où des Biens/Services sont fournis à </w:t>
      </w:r>
      <w:r w:rsidR="007B4BB3" w:rsidRPr="00822A12">
        <w:rPr>
          <w:color w:val="000000"/>
          <w:sz w:val="12"/>
          <w:szCs w:val="12"/>
        </w:rPr>
        <w:t>Interfor E</w:t>
      </w:r>
      <w:r w:rsidR="007B4BB3">
        <w:rPr>
          <w:color w:val="000000"/>
          <w:sz w:val="12"/>
          <w:szCs w:val="12"/>
        </w:rPr>
        <w:t xml:space="preserve">st </w:t>
      </w:r>
      <w:r w:rsidR="007B4BB3" w:rsidRPr="00822A12">
        <w:rPr>
          <w:color w:val="000000"/>
          <w:sz w:val="12"/>
          <w:szCs w:val="12"/>
        </w:rPr>
        <w:t>Lt</w:t>
      </w:r>
      <w:r w:rsidR="007B4BB3">
        <w:rPr>
          <w:color w:val="000000"/>
          <w:sz w:val="12"/>
          <w:szCs w:val="12"/>
        </w:rPr>
        <w:t>ée</w:t>
      </w:r>
      <w:r w:rsidR="007B4BB3" w:rsidRPr="00822A12">
        <w:rPr>
          <w:color w:val="000000"/>
          <w:sz w:val="12"/>
          <w:szCs w:val="12"/>
        </w:rPr>
        <w:t>.</w:t>
      </w:r>
      <w:r w:rsidR="007B4BB3">
        <w:rPr>
          <w:color w:val="000000"/>
          <w:sz w:val="12"/>
          <w:szCs w:val="12"/>
        </w:rPr>
        <w:t xml:space="preserve"> </w:t>
      </w:r>
      <w:proofErr w:type="gramStart"/>
      <w:r w:rsidR="007B4BB3">
        <w:rPr>
          <w:color w:val="000000"/>
          <w:sz w:val="12"/>
          <w:szCs w:val="12"/>
        </w:rPr>
        <w:t>ou</w:t>
      </w:r>
      <w:proofErr w:type="gramEnd"/>
      <w:r w:rsidR="007B4BB3">
        <w:rPr>
          <w:color w:val="000000"/>
          <w:sz w:val="12"/>
          <w:szCs w:val="12"/>
        </w:rPr>
        <w:t xml:space="preserve"> EACOM Timber Corporation</w:t>
      </w:r>
      <w:r w:rsidR="00C26068">
        <w:rPr>
          <w:color w:val="000000"/>
          <w:sz w:val="12"/>
          <w:szCs w:val="12"/>
        </w:rPr>
        <w:t xml:space="preserve"> </w:t>
      </w:r>
      <w:r w:rsidR="0004104E" w:rsidRPr="007102C3">
        <w:rPr>
          <w:color w:val="000000"/>
          <w:sz w:val="12"/>
          <w:szCs w:val="12"/>
        </w:rPr>
        <w:t>au Québec</w:t>
      </w:r>
      <w:r w:rsidR="00501F0D" w:rsidRPr="007102C3">
        <w:rPr>
          <w:color w:val="000000"/>
          <w:sz w:val="12"/>
          <w:szCs w:val="12"/>
        </w:rPr>
        <w:t>;</w:t>
      </w:r>
      <w:r w:rsidR="00501F0D">
        <w:rPr>
          <w:color w:val="000000"/>
          <w:sz w:val="12"/>
          <w:szCs w:val="12"/>
        </w:rPr>
        <w:t xml:space="preserve"> </w:t>
      </w:r>
      <w:r w:rsidR="00A33AD4">
        <w:rPr>
          <w:color w:val="000000"/>
          <w:sz w:val="12"/>
          <w:szCs w:val="12"/>
        </w:rPr>
        <w:t>b</w:t>
      </w:r>
      <w:r w:rsidR="00300682">
        <w:rPr>
          <w:color w:val="000000"/>
          <w:sz w:val="12"/>
          <w:szCs w:val="12"/>
        </w:rPr>
        <w:t xml:space="preserve">) de la province de l’Ontario dans le cas où des Biens/Services sont fournis à </w:t>
      </w:r>
      <w:r w:rsidR="007B4BB3" w:rsidRPr="00822A12">
        <w:rPr>
          <w:color w:val="000000"/>
          <w:sz w:val="12"/>
          <w:szCs w:val="12"/>
        </w:rPr>
        <w:t>Interfor E</w:t>
      </w:r>
      <w:r w:rsidR="007B4BB3">
        <w:rPr>
          <w:color w:val="000000"/>
          <w:sz w:val="12"/>
          <w:szCs w:val="12"/>
        </w:rPr>
        <w:t xml:space="preserve">st </w:t>
      </w:r>
      <w:r w:rsidR="007B4BB3" w:rsidRPr="00822A12">
        <w:rPr>
          <w:color w:val="000000"/>
          <w:sz w:val="12"/>
          <w:szCs w:val="12"/>
        </w:rPr>
        <w:t>Lt</w:t>
      </w:r>
      <w:r w:rsidR="007B4BB3">
        <w:rPr>
          <w:color w:val="000000"/>
          <w:sz w:val="12"/>
          <w:szCs w:val="12"/>
        </w:rPr>
        <w:t>ée</w:t>
      </w:r>
      <w:r w:rsidR="007B4BB3" w:rsidRPr="00822A12">
        <w:rPr>
          <w:color w:val="000000"/>
          <w:sz w:val="12"/>
          <w:szCs w:val="12"/>
        </w:rPr>
        <w:t>.</w:t>
      </w:r>
      <w:r w:rsidR="007B4BB3">
        <w:rPr>
          <w:color w:val="000000"/>
          <w:sz w:val="12"/>
          <w:szCs w:val="12"/>
        </w:rPr>
        <w:t xml:space="preserve"> </w:t>
      </w:r>
      <w:proofErr w:type="gramStart"/>
      <w:r w:rsidR="007B4BB3">
        <w:rPr>
          <w:color w:val="000000"/>
          <w:sz w:val="12"/>
          <w:szCs w:val="12"/>
        </w:rPr>
        <w:t>ou</w:t>
      </w:r>
      <w:proofErr w:type="gramEnd"/>
      <w:r w:rsidR="007B4BB3">
        <w:rPr>
          <w:color w:val="000000"/>
          <w:sz w:val="12"/>
          <w:szCs w:val="12"/>
        </w:rPr>
        <w:t xml:space="preserve"> EACOM Timber Corporation</w:t>
      </w:r>
      <w:r w:rsidR="00C26068">
        <w:rPr>
          <w:color w:val="000000"/>
          <w:sz w:val="12"/>
          <w:szCs w:val="12"/>
        </w:rPr>
        <w:t xml:space="preserve"> </w:t>
      </w:r>
      <w:r w:rsidR="0004104E" w:rsidRPr="007102C3">
        <w:rPr>
          <w:color w:val="000000"/>
          <w:sz w:val="12"/>
          <w:szCs w:val="12"/>
        </w:rPr>
        <w:t>en Ontario</w:t>
      </w:r>
      <w:r w:rsidR="00501F0D" w:rsidRPr="007102C3">
        <w:rPr>
          <w:color w:val="000000"/>
          <w:sz w:val="12"/>
          <w:szCs w:val="12"/>
        </w:rPr>
        <w:t xml:space="preserve">; </w:t>
      </w:r>
      <w:r w:rsidR="00A33AD4" w:rsidRPr="007102C3">
        <w:rPr>
          <w:color w:val="000000"/>
          <w:sz w:val="12"/>
          <w:szCs w:val="12"/>
        </w:rPr>
        <w:t>c) de la province de la Colombie-Britannique dans le cas où des Biens/Services sont fournis</w:t>
      </w:r>
      <w:r w:rsidR="00A33AD4">
        <w:rPr>
          <w:color w:val="000000"/>
          <w:sz w:val="12"/>
          <w:szCs w:val="12"/>
        </w:rPr>
        <w:t xml:space="preserve"> à Interfor Corporation; </w:t>
      </w:r>
      <w:r w:rsidR="00300682">
        <w:rPr>
          <w:color w:val="000000"/>
          <w:sz w:val="12"/>
          <w:szCs w:val="12"/>
        </w:rPr>
        <w:t>d</w:t>
      </w:r>
      <w:r w:rsidR="00300682" w:rsidRPr="00B55ADC">
        <w:rPr>
          <w:color w:val="000000"/>
          <w:sz w:val="12"/>
          <w:szCs w:val="12"/>
        </w:rPr>
        <w:t xml:space="preserve">) </w:t>
      </w:r>
      <w:r w:rsidR="00300682">
        <w:rPr>
          <w:color w:val="000000"/>
          <w:sz w:val="12"/>
          <w:szCs w:val="12"/>
        </w:rPr>
        <w:t xml:space="preserve">de </w:t>
      </w:r>
      <w:r w:rsidR="00300682" w:rsidRPr="00B55ADC">
        <w:rPr>
          <w:color w:val="000000"/>
          <w:sz w:val="12"/>
          <w:szCs w:val="12"/>
        </w:rPr>
        <w:t>l</w:t>
      </w:r>
      <w:r w:rsidR="00300682">
        <w:rPr>
          <w:color w:val="000000"/>
          <w:sz w:val="12"/>
          <w:szCs w:val="12"/>
        </w:rPr>
        <w:t>’</w:t>
      </w:r>
      <w:r w:rsidR="00300682" w:rsidRPr="00B55ADC">
        <w:rPr>
          <w:color w:val="000000"/>
          <w:sz w:val="12"/>
          <w:szCs w:val="12"/>
        </w:rPr>
        <w:t xml:space="preserve">État de Washington dans le cas où des </w:t>
      </w:r>
      <w:r w:rsidR="00300682">
        <w:rPr>
          <w:color w:val="000000"/>
          <w:sz w:val="12"/>
          <w:szCs w:val="12"/>
        </w:rPr>
        <w:t>Biens/Services</w:t>
      </w:r>
      <w:r w:rsidR="00300682" w:rsidRPr="00B55ADC">
        <w:rPr>
          <w:color w:val="000000"/>
          <w:sz w:val="12"/>
          <w:szCs w:val="12"/>
        </w:rPr>
        <w:t xml:space="preserve"> sont fournis </w:t>
      </w:r>
      <w:r w:rsidR="00300682">
        <w:rPr>
          <w:color w:val="000000"/>
          <w:sz w:val="12"/>
          <w:szCs w:val="12"/>
        </w:rPr>
        <w:t>aux emplacements d’</w:t>
      </w:r>
      <w:r w:rsidR="00300682" w:rsidRPr="00B55ADC">
        <w:rPr>
          <w:color w:val="000000"/>
          <w:sz w:val="12"/>
          <w:szCs w:val="12"/>
        </w:rPr>
        <w:t xml:space="preserve">Interfor U.S. Inc. </w:t>
      </w:r>
      <w:r w:rsidR="00300682">
        <w:rPr>
          <w:color w:val="000000"/>
          <w:sz w:val="12"/>
          <w:szCs w:val="12"/>
        </w:rPr>
        <w:t xml:space="preserve">à </w:t>
      </w:r>
      <w:r w:rsidR="00300682" w:rsidRPr="00B55ADC">
        <w:rPr>
          <w:color w:val="000000"/>
          <w:sz w:val="12"/>
          <w:szCs w:val="12"/>
        </w:rPr>
        <w:t>Washington</w:t>
      </w:r>
      <w:r w:rsidR="00300682">
        <w:rPr>
          <w:color w:val="000000"/>
          <w:sz w:val="12"/>
          <w:szCs w:val="12"/>
        </w:rPr>
        <w:t xml:space="preserve"> ou </w:t>
      </w:r>
      <w:r w:rsidR="00300682" w:rsidRPr="00B55ADC">
        <w:rPr>
          <w:color w:val="000000"/>
          <w:sz w:val="12"/>
          <w:szCs w:val="12"/>
        </w:rPr>
        <w:t>dans l</w:t>
      </w:r>
      <w:r w:rsidR="00300682">
        <w:rPr>
          <w:color w:val="000000"/>
          <w:sz w:val="12"/>
          <w:szCs w:val="12"/>
        </w:rPr>
        <w:t>’</w:t>
      </w:r>
      <w:r w:rsidR="00300682" w:rsidRPr="00B55ADC">
        <w:rPr>
          <w:color w:val="000000"/>
          <w:sz w:val="12"/>
          <w:szCs w:val="12"/>
        </w:rPr>
        <w:t xml:space="preserve">Oregon; et </w:t>
      </w:r>
      <w:r w:rsidR="00300682">
        <w:rPr>
          <w:color w:val="000000"/>
          <w:sz w:val="12"/>
          <w:szCs w:val="12"/>
        </w:rPr>
        <w:t>e</w:t>
      </w:r>
      <w:r w:rsidR="00300682" w:rsidRPr="00B55ADC">
        <w:rPr>
          <w:color w:val="000000"/>
          <w:sz w:val="12"/>
          <w:szCs w:val="12"/>
        </w:rPr>
        <w:t xml:space="preserve">) </w:t>
      </w:r>
      <w:r w:rsidR="00300682">
        <w:rPr>
          <w:color w:val="000000"/>
          <w:sz w:val="12"/>
          <w:szCs w:val="12"/>
        </w:rPr>
        <w:t xml:space="preserve">de </w:t>
      </w:r>
      <w:r w:rsidR="00300682" w:rsidRPr="00B55ADC">
        <w:rPr>
          <w:color w:val="000000"/>
          <w:sz w:val="12"/>
          <w:szCs w:val="12"/>
        </w:rPr>
        <w:t>l</w:t>
      </w:r>
      <w:r w:rsidR="00300682">
        <w:rPr>
          <w:color w:val="000000"/>
          <w:sz w:val="12"/>
          <w:szCs w:val="12"/>
        </w:rPr>
        <w:t>’</w:t>
      </w:r>
      <w:r w:rsidR="00300682" w:rsidRPr="00B55ADC">
        <w:rPr>
          <w:color w:val="000000"/>
          <w:sz w:val="12"/>
          <w:szCs w:val="12"/>
        </w:rPr>
        <w:t xml:space="preserve">État de Géorgie dans tous les autres cas où des </w:t>
      </w:r>
      <w:r w:rsidR="00300682">
        <w:rPr>
          <w:color w:val="000000"/>
          <w:sz w:val="12"/>
          <w:szCs w:val="12"/>
        </w:rPr>
        <w:t>Biens/Services</w:t>
      </w:r>
      <w:r w:rsidR="00300682" w:rsidRPr="00B55ADC">
        <w:rPr>
          <w:color w:val="000000"/>
          <w:sz w:val="12"/>
          <w:szCs w:val="12"/>
        </w:rPr>
        <w:t xml:space="preserve"> sont fournis à Interfor U.S. Inc., dans chaque cas sans tenir compte des règles de conflit de lois du territoire applicable. Chacune des parties convient irrévocablement que toute </w:t>
      </w:r>
      <w:r w:rsidR="00300682">
        <w:rPr>
          <w:color w:val="000000"/>
          <w:sz w:val="12"/>
          <w:szCs w:val="12"/>
        </w:rPr>
        <w:t xml:space="preserve">action, </w:t>
      </w:r>
      <w:r w:rsidR="00300682" w:rsidRPr="00B55ADC">
        <w:rPr>
          <w:color w:val="000000"/>
          <w:sz w:val="12"/>
          <w:szCs w:val="12"/>
        </w:rPr>
        <w:t xml:space="preserve">poursuite ou instance </w:t>
      </w:r>
      <w:r w:rsidR="00300682">
        <w:rPr>
          <w:color w:val="000000"/>
          <w:sz w:val="12"/>
          <w:szCs w:val="12"/>
        </w:rPr>
        <w:t xml:space="preserve">judiciaire </w:t>
      </w:r>
      <w:r w:rsidR="00300682" w:rsidRPr="00B55ADC">
        <w:rPr>
          <w:color w:val="000000"/>
          <w:sz w:val="12"/>
          <w:szCs w:val="12"/>
        </w:rPr>
        <w:t xml:space="preserve">découlant </w:t>
      </w:r>
      <w:r w:rsidR="00300682">
        <w:rPr>
          <w:color w:val="000000"/>
          <w:sz w:val="12"/>
          <w:szCs w:val="12"/>
        </w:rPr>
        <w:t>de</w:t>
      </w:r>
      <w:r w:rsidR="00300682" w:rsidRPr="006D0152">
        <w:rPr>
          <w:color w:val="000000"/>
          <w:sz w:val="12"/>
          <w:szCs w:val="12"/>
        </w:rPr>
        <w:t xml:space="preserve"> la </w:t>
      </w:r>
      <w:r w:rsidR="006E7785">
        <w:rPr>
          <w:color w:val="000000"/>
          <w:sz w:val="12"/>
          <w:szCs w:val="12"/>
        </w:rPr>
        <w:t>Convention</w:t>
      </w:r>
      <w:r w:rsidR="00300682" w:rsidRPr="006D0152">
        <w:rPr>
          <w:color w:val="000000"/>
          <w:sz w:val="12"/>
          <w:szCs w:val="12"/>
        </w:rPr>
        <w:t xml:space="preserve"> </w:t>
      </w:r>
      <w:r w:rsidR="00300682" w:rsidRPr="00B55ADC">
        <w:rPr>
          <w:color w:val="000000"/>
          <w:sz w:val="12"/>
          <w:szCs w:val="12"/>
        </w:rPr>
        <w:t xml:space="preserve">ou </w:t>
      </w:r>
      <w:r w:rsidR="00300682">
        <w:rPr>
          <w:color w:val="000000"/>
          <w:sz w:val="12"/>
          <w:szCs w:val="12"/>
        </w:rPr>
        <w:t>des</w:t>
      </w:r>
      <w:r w:rsidR="00300682" w:rsidRPr="00B55ADC">
        <w:rPr>
          <w:color w:val="000000"/>
          <w:sz w:val="12"/>
          <w:szCs w:val="12"/>
        </w:rPr>
        <w:t xml:space="preserve"> opérations envisagées dans la </w:t>
      </w:r>
      <w:r w:rsidR="006E7785">
        <w:rPr>
          <w:color w:val="000000"/>
          <w:sz w:val="12"/>
          <w:szCs w:val="12"/>
        </w:rPr>
        <w:t>Convention</w:t>
      </w:r>
      <w:r w:rsidR="00300682" w:rsidRPr="00B55ADC">
        <w:rPr>
          <w:color w:val="000000"/>
          <w:sz w:val="12"/>
          <w:szCs w:val="12"/>
        </w:rPr>
        <w:t xml:space="preserve"> </w:t>
      </w:r>
      <w:r w:rsidR="00300682" w:rsidRPr="00C03A8F">
        <w:rPr>
          <w:color w:val="000000"/>
          <w:sz w:val="12"/>
          <w:szCs w:val="12"/>
        </w:rPr>
        <w:t xml:space="preserve">ou s’y rapportant </w:t>
      </w:r>
      <w:r w:rsidR="00300682" w:rsidRPr="00B55ADC">
        <w:rPr>
          <w:color w:val="000000"/>
          <w:sz w:val="12"/>
          <w:szCs w:val="12"/>
        </w:rPr>
        <w:t xml:space="preserve">ne peut être intentée et </w:t>
      </w:r>
      <w:r w:rsidR="00501F0D">
        <w:rPr>
          <w:color w:val="000000"/>
          <w:sz w:val="12"/>
          <w:szCs w:val="12"/>
        </w:rPr>
        <w:t xml:space="preserve">tranchée : </w:t>
      </w:r>
      <w:r w:rsidR="00300682" w:rsidRPr="00B55ADC">
        <w:rPr>
          <w:color w:val="000000"/>
          <w:sz w:val="12"/>
          <w:szCs w:val="12"/>
        </w:rPr>
        <w:t>i)</w:t>
      </w:r>
      <w:r w:rsidR="00CD1ABA">
        <w:rPr>
          <w:color w:val="000000"/>
          <w:sz w:val="12"/>
          <w:szCs w:val="12"/>
        </w:rPr>
        <w:t xml:space="preserve"> </w:t>
      </w:r>
      <w:r w:rsidR="00300682">
        <w:rPr>
          <w:color w:val="000000"/>
          <w:sz w:val="12"/>
          <w:szCs w:val="12"/>
        </w:rPr>
        <w:t xml:space="preserve">que devant les tribunaux du Québec siégeant à Montréal, au Québec, dans le cas où la </w:t>
      </w:r>
      <w:r w:rsidR="006E7785">
        <w:rPr>
          <w:color w:val="000000"/>
          <w:sz w:val="12"/>
          <w:szCs w:val="12"/>
        </w:rPr>
        <w:t>Convention</w:t>
      </w:r>
      <w:r w:rsidR="00300682">
        <w:rPr>
          <w:color w:val="000000"/>
          <w:sz w:val="12"/>
          <w:szCs w:val="12"/>
        </w:rPr>
        <w:t xml:space="preserve"> est régie par les </w:t>
      </w:r>
      <w:r w:rsidR="00501F0D">
        <w:rPr>
          <w:color w:val="000000"/>
          <w:sz w:val="12"/>
          <w:szCs w:val="12"/>
        </w:rPr>
        <w:t xml:space="preserve">lois de la province du Québec; </w:t>
      </w:r>
      <w:r w:rsidR="00300682">
        <w:rPr>
          <w:color w:val="000000"/>
          <w:sz w:val="12"/>
          <w:szCs w:val="12"/>
        </w:rPr>
        <w:t xml:space="preserve">ii) que devant les tribunaux de l’Ontario siégeant à Toronto, en Ontario, dans le cas où la </w:t>
      </w:r>
      <w:r w:rsidR="006E7785">
        <w:rPr>
          <w:color w:val="000000"/>
          <w:sz w:val="12"/>
          <w:szCs w:val="12"/>
        </w:rPr>
        <w:t>Convention</w:t>
      </w:r>
      <w:r w:rsidR="00300682">
        <w:rPr>
          <w:color w:val="000000"/>
          <w:sz w:val="12"/>
          <w:szCs w:val="12"/>
        </w:rPr>
        <w:t xml:space="preserve"> est régie par les loi</w:t>
      </w:r>
      <w:r w:rsidR="00501F0D">
        <w:rPr>
          <w:color w:val="000000"/>
          <w:sz w:val="12"/>
          <w:szCs w:val="12"/>
        </w:rPr>
        <w:t xml:space="preserve">s de la province de l’Ontario; </w:t>
      </w:r>
      <w:r w:rsidR="00300682">
        <w:rPr>
          <w:color w:val="000000"/>
          <w:sz w:val="12"/>
          <w:szCs w:val="12"/>
        </w:rPr>
        <w:t>i</w:t>
      </w:r>
      <w:r w:rsidR="00CD1ABA">
        <w:rPr>
          <w:color w:val="000000"/>
          <w:sz w:val="12"/>
          <w:szCs w:val="12"/>
        </w:rPr>
        <w:t>ii</w:t>
      </w:r>
      <w:r w:rsidR="00300682" w:rsidRPr="00B55ADC">
        <w:rPr>
          <w:color w:val="000000"/>
          <w:sz w:val="12"/>
          <w:szCs w:val="12"/>
        </w:rPr>
        <w:t xml:space="preserve">) </w:t>
      </w:r>
      <w:r w:rsidR="00CD1ABA">
        <w:rPr>
          <w:color w:val="000000"/>
          <w:sz w:val="12"/>
          <w:szCs w:val="12"/>
        </w:rPr>
        <w:t xml:space="preserve">que </w:t>
      </w:r>
      <w:r w:rsidR="00CD1ABA" w:rsidRPr="00B55ADC">
        <w:rPr>
          <w:color w:val="000000"/>
          <w:sz w:val="12"/>
          <w:szCs w:val="12"/>
        </w:rPr>
        <w:t xml:space="preserve">devant les tribunaux de la Colombie-Britannique siégeant à Vancouver, en Colombie-Britannique, dans le cas où la </w:t>
      </w:r>
      <w:r w:rsidR="00CD1ABA">
        <w:rPr>
          <w:color w:val="000000"/>
          <w:sz w:val="12"/>
          <w:szCs w:val="12"/>
        </w:rPr>
        <w:t>Convention</w:t>
      </w:r>
      <w:r w:rsidR="00CD1ABA" w:rsidRPr="00B55ADC">
        <w:rPr>
          <w:color w:val="000000"/>
          <w:sz w:val="12"/>
          <w:szCs w:val="12"/>
        </w:rPr>
        <w:t xml:space="preserve"> est régie par les lois de la province de la Colombie-Britannique</w:t>
      </w:r>
      <w:r w:rsidR="00CD1ABA">
        <w:rPr>
          <w:color w:val="000000"/>
          <w:sz w:val="12"/>
          <w:szCs w:val="12"/>
        </w:rPr>
        <w:t xml:space="preserve">; iv) </w:t>
      </w:r>
      <w:r w:rsidR="00300682">
        <w:rPr>
          <w:color w:val="000000"/>
          <w:sz w:val="12"/>
          <w:szCs w:val="12"/>
        </w:rPr>
        <w:t xml:space="preserve">que </w:t>
      </w:r>
      <w:r w:rsidR="00300682" w:rsidRPr="00B55ADC">
        <w:rPr>
          <w:color w:val="000000"/>
          <w:sz w:val="12"/>
          <w:szCs w:val="12"/>
        </w:rPr>
        <w:t>devant un tribunal fédéral ou étatique de Seattle, dans l</w:t>
      </w:r>
      <w:r w:rsidR="00300682">
        <w:rPr>
          <w:color w:val="000000"/>
          <w:sz w:val="12"/>
          <w:szCs w:val="12"/>
        </w:rPr>
        <w:t>’</w:t>
      </w:r>
      <w:r w:rsidR="00300682" w:rsidRPr="00B55ADC">
        <w:rPr>
          <w:color w:val="000000"/>
          <w:sz w:val="12"/>
          <w:szCs w:val="12"/>
        </w:rPr>
        <w:t xml:space="preserve">État de Washington, dans le cas où la </w:t>
      </w:r>
      <w:r w:rsidR="006E7785">
        <w:rPr>
          <w:color w:val="000000"/>
          <w:sz w:val="12"/>
          <w:szCs w:val="12"/>
        </w:rPr>
        <w:t>Convention</w:t>
      </w:r>
      <w:r w:rsidR="00300682" w:rsidRPr="00B55ADC">
        <w:rPr>
          <w:color w:val="000000"/>
          <w:sz w:val="12"/>
          <w:szCs w:val="12"/>
        </w:rPr>
        <w:t xml:space="preserve"> est régie par les lois de l</w:t>
      </w:r>
      <w:r w:rsidR="00501F0D">
        <w:rPr>
          <w:color w:val="000000"/>
          <w:sz w:val="12"/>
          <w:szCs w:val="12"/>
        </w:rPr>
        <w:t xml:space="preserve">’État de Washington; et </w:t>
      </w:r>
      <w:r w:rsidR="00300682">
        <w:rPr>
          <w:color w:val="000000"/>
          <w:sz w:val="12"/>
          <w:szCs w:val="12"/>
        </w:rPr>
        <w:t>v</w:t>
      </w:r>
      <w:r w:rsidR="00300682" w:rsidRPr="00B55ADC">
        <w:rPr>
          <w:color w:val="000000"/>
          <w:sz w:val="12"/>
          <w:szCs w:val="12"/>
        </w:rPr>
        <w:t xml:space="preserve">) </w:t>
      </w:r>
      <w:r w:rsidR="00300682">
        <w:rPr>
          <w:color w:val="000000"/>
          <w:sz w:val="12"/>
          <w:szCs w:val="12"/>
        </w:rPr>
        <w:t xml:space="preserve">que </w:t>
      </w:r>
      <w:r w:rsidR="00300682" w:rsidRPr="00B55ADC">
        <w:rPr>
          <w:color w:val="000000"/>
          <w:sz w:val="12"/>
          <w:szCs w:val="12"/>
        </w:rPr>
        <w:t>devant un tribunal fédéral ou étatique d</w:t>
      </w:r>
      <w:r w:rsidR="00300682">
        <w:rPr>
          <w:color w:val="000000"/>
          <w:sz w:val="12"/>
          <w:szCs w:val="12"/>
        </w:rPr>
        <w:t>’</w:t>
      </w:r>
      <w:r w:rsidR="00300682" w:rsidRPr="00B55ADC">
        <w:rPr>
          <w:color w:val="000000"/>
          <w:sz w:val="12"/>
          <w:szCs w:val="12"/>
        </w:rPr>
        <w:t xml:space="preserve">Atlanta, en Géorgie, dans le cas où la </w:t>
      </w:r>
      <w:r w:rsidR="006E7785">
        <w:rPr>
          <w:color w:val="000000"/>
          <w:sz w:val="12"/>
          <w:szCs w:val="12"/>
        </w:rPr>
        <w:t>Convention</w:t>
      </w:r>
      <w:r w:rsidR="00300682" w:rsidRPr="00B55ADC">
        <w:rPr>
          <w:color w:val="000000"/>
          <w:sz w:val="12"/>
          <w:szCs w:val="12"/>
        </w:rPr>
        <w:t xml:space="preserve"> est régie par les lois de l</w:t>
      </w:r>
      <w:r w:rsidR="00300682">
        <w:rPr>
          <w:color w:val="000000"/>
          <w:sz w:val="12"/>
          <w:szCs w:val="12"/>
        </w:rPr>
        <w:t>’</w:t>
      </w:r>
      <w:r w:rsidR="00300682" w:rsidRPr="00B55ADC">
        <w:rPr>
          <w:color w:val="000000"/>
          <w:sz w:val="12"/>
          <w:szCs w:val="12"/>
        </w:rPr>
        <w:t xml:space="preserve">État de Géorgie (ou tout autre tribunal qui entend les appels de ces tribunaux), et chacune des parties se soumet irrévocablement à la compétence exclusive du tribunal compétent siégeant à </w:t>
      </w:r>
      <w:r w:rsidR="00300682">
        <w:rPr>
          <w:color w:val="000000"/>
          <w:sz w:val="12"/>
          <w:szCs w:val="12"/>
        </w:rPr>
        <w:t>Montréal, Toronto,</w:t>
      </w:r>
      <w:r w:rsidR="00CD1ABA">
        <w:rPr>
          <w:color w:val="000000"/>
          <w:sz w:val="12"/>
          <w:szCs w:val="12"/>
        </w:rPr>
        <w:t xml:space="preserve"> Vancouver,</w:t>
      </w:r>
      <w:r w:rsidR="00300682">
        <w:rPr>
          <w:color w:val="000000"/>
          <w:sz w:val="12"/>
          <w:szCs w:val="12"/>
        </w:rPr>
        <w:t xml:space="preserve"> </w:t>
      </w:r>
      <w:r w:rsidR="00300682" w:rsidRPr="00B55ADC">
        <w:rPr>
          <w:color w:val="000000"/>
          <w:sz w:val="12"/>
          <w:szCs w:val="12"/>
        </w:rPr>
        <w:t>Seattle ou Atlanta, selon le cas. Chaque partie renonce par les présentes à son droit d</w:t>
      </w:r>
      <w:r w:rsidR="00300682">
        <w:rPr>
          <w:color w:val="000000"/>
          <w:sz w:val="12"/>
          <w:szCs w:val="12"/>
        </w:rPr>
        <w:t>’exiger</w:t>
      </w:r>
      <w:r w:rsidR="00300682" w:rsidRPr="00B55ADC">
        <w:rPr>
          <w:color w:val="000000"/>
          <w:sz w:val="12"/>
          <w:szCs w:val="12"/>
        </w:rPr>
        <w:t xml:space="preserve"> un procès devant jury et convient que toutes les actions seront instruites devant un juge sans jury.</w:t>
      </w:r>
      <w:r w:rsidR="00AC1ABC">
        <w:rPr>
          <w:color w:val="000000"/>
          <w:sz w:val="12"/>
          <w:szCs w:val="12"/>
        </w:rPr>
        <w:br w:type="column"/>
      </w:r>
    </w:p>
    <w:p w14:paraId="3AE387DD" w14:textId="675DF118" w:rsidR="00554431" w:rsidRPr="006E7785" w:rsidRDefault="00B55ADC" w:rsidP="00B55ADC">
      <w:pPr>
        <w:pStyle w:val="ListParagraph"/>
        <w:numPr>
          <w:ilvl w:val="0"/>
          <w:numId w:val="1"/>
        </w:numPr>
        <w:tabs>
          <w:tab w:val="left" w:pos="436"/>
        </w:tabs>
        <w:spacing w:after="120"/>
        <w:ind w:left="0" w:right="0" w:firstLine="0"/>
        <w:rPr>
          <w:sz w:val="12"/>
          <w:szCs w:val="12"/>
        </w:rPr>
      </w:pPr>
      <w:r w:rsidRPr="00B55ADC">
        <w:rPr>
          <w:b/>
          <w:color w:val="000000"/>
          <w:sz w:val="12"/>
          <w:szCs w:val="12"/>
        </w:rPr>
        <w:t>SITU</w:t>
      </w:r>
      <w:r w:rsidR="000D1C92">
        <w:rPr>
          <w:b/>
          <w:color w:val="000000"/>
          <w:sz w:val="12"/>
          <w:szCs w:val="12"/>
        </w:rPr>
        <w:t xml:space="preserve">S DE LA </w:t>
      </w:r>
      <w:r w:rsidR="006E7785">
        <w:rPr>
          <w:b/>
          <w:color w:val="000000"/>
          <w:sz w:val="12"/>
          <w:szCs w:val="12"/>
        </w:rPr>
        <w:t>CONVENTION</w:t>
      </w:r>
      <w:r w:rsidRPr="00B55ADC">
        <w:rPr>
          <w:color w:val="000000"/>
          <w:sz w:val="12"/>
          <w:szCs w:val="12"/>
        </w:rPr>
        <w:t xml:space="preserve">. </w:t>
      </w:r>
      <w:r w:rsidR="00300682" w:rsidRPr="0037481F">
        <w:rPr>
          <w:color w:val="000000"/>
          <w:sz w:val="12"/>
          <w:szCs w:val="12"/>
        </w:rPr>
        <w:t xml:space="preserve">La </w:t>
      </w:r>
      <w:r w:rsidR="006E7785">
        <w:rPr>
          <w:color w:val="000000"/>
          <w:sz w:val="12"/>
          <w:szCs w:val="12"/>
        </w:rPr>
        <w:t>Convention</w:t>
      </w:r>
      <w:r w:rsidR="00300682" w:rsidRPr="0037481F">
        <w:rPr>
          <w:color w:val="000000"/>
          <w:sz w:val="12"/>
          <w:szCs w:val="12"/>
        </w:rPr>
        <w:t xml:space="preserve"> est réputée avoir été conclue : a) </w:t>
      </w:r>
      <w:r w:rsidR="00300682">
        <w:rPr>
          <w:color w:val="000000"/>
          <w:sz w:val="12"/>
          <w:szCs w:val="12"/>
        </w:rPr>
        <w:t xml:space="preserve">de la </w:t>
      </w:r>
      <w:r w:rsidR="00300682" w:rsidRPr="007102C3">
        <w:rPr>
          <w:color w:val="000000"/>
          <w:sz w:val="12"/>
          <w:szCs w:val="12"/>
        </w:rPr>
        <w:t xml:space="preserve">province du Québec dans le cas où des Biens/Services sont fournis à </w:t>
      </w:r>
      <w:r w:rsidR="00A20D38" w:rsidRPr="00822A12">
        <w:rPr>
          <w:color w:val="000000"/>
          <w:sz w:val="12"/>
          <w:szCs w:val="12"/>
        </w:rPr>
        <w:t>Interfor E</w:t>
      </w:r>
      <w:r w:rsidR="00A20D38">
        <w:rPr>
          <w:color w:val="000000"/>
          <w:sz w:val="12"/>
          <w:szCs w:val="12"/>
        </w:rPr>
        <w:t xml:space="preserve">st </w:t>
      </w:r>
      <w:r w:rsidR="00A20D38" w:rsidRPr="00822A12">
        <w:rPr>
          <w:color w:val="000000"/>
          <w:sz w:val="12"/>
          <w:szCs w:val="12"/>
        </w:rPr>
        <w:t>Lt</w:t>
      </w:r>
      <w:r w:rsidR="00A20D38">
        <w:rPr>
          <w:color w:val="000000"/>
          <w:sz w:val="12"/>
          <w:szCs w:val="12"/>
        </w:rPr>
        <w:t>ée</w:t>
      </w:r>
      <w:r w:rsidR="00A20D38" w:rsidRPr="00822A12">
        <w:rPr>
          <w:color w:val="000000"/>
          <w:sz w:val="12"/>
          <w:szCs w:val="12"/>
        </w:rPr>
        <w:t>.</w:t>
      </w:r>
      <w:r w:rsidR="00A20D38">
        <w:rPr>
          <w:color w:val="000000"/>
          <w:sz w:val="12"/>
          <w:szCs w:val="12"/>
        </w:rPr>
        <w:t xml:space="preserve"> </w:t>
      </w:r>
      <w:proofErr w:type="gramStart"/>
      <w:r w:rsidR="00A20D38">
        <w:rPr>
          <w:color w:val="000000"/>
          <w:sz w:val="12"/>
          <w:szCs w:val="12"/>
        </w:rPr>
        <w:t>ou</w:t>
      </w:r>
      <w:proofErr w:type="gramEnd"/>
      <w:r w:rsidR="00A20D38">
        <w:rPr>
          <w:color w:val="000000"/>
          <w:sz w:val="12"/>
          <w:szCs w:val="12"/>
        </w:rPr>
        <w:t xml:space="preserve"> EACOM Timber Corporation</w:t>
      </w:r>
      <w:r w:rsidR="00310010">
        <w:rPr>
          <w:color w:val="000000"/>
          <w:sz w:val="12"/>
          <w:szCs w:val="12"/>
        </w:rPr>
        <w:t xml:space="preserve"> </w:t>
      </w:r>
      <w:r w:rsidR="0004104E" w:rsidRPr="007102C3">
        <w:rPr>
          <w:color w:val="000000"/>
          <w:sz w:val="12"/>
          <w:szCs w:val="12"/>
        </w:rPr>
        <w:t>au Québec</w:t>
      </w:r>
      <w:r w:rsidR="00501F0D" w:rsidRPr="007102C3">
        <w:rPr>
          <w:color w:val="000000"/>
          <w:sz w:val="12"/>
          <w:szCs w:val="12"/>
        </w:rPr>
        <w:t xml:space="preserve">; </w:t>
      </w:r>
      <w:r w:rsidR="00A33AD4" w:rsidRPr="007102C3">
        <w:rPr>
          <w:color w:val="000000"/>
          <w:sz w:val="12"/>
          <w:szCs w:val="12"/>
        </w:rPr>
        <w:t>b</w:t>
      </w:r>
      <w:r w:rsidR="00300682" w:rsidRPr="007102C3">
        <w:rPr>
          <w:color w:val="000000"/>
          <w:sz w:val="12"/>
          <w:szCs w:val="12"/>
        </w:rPr>
        <w:t xml:space="preserve">) de la province de l’Ontario dans le cas où des Biens/Services sont fournis à </w:t>
      </w:r>
      <w:r w:rsidR="00A20D38" w:rsidRPr="00822A12">
        <w:rPr>
          <w:color w:val="000000"/>
          <w:sz w:val="12"/>
          <w:szCs w:val="12"/>
        </w:rPr>
        <w:t>Interfor E</w:t>
      </w:r>
      <w:r w:rsidR="00A20D38">
        <w:rPr>
          <w:color w:val="000000"/>
          <w:sz w:val="12"/>
          <w:szCs w:val="12"/>
        </w:rPr>
        <w:t xml:space="preserve">st </w:t>
      </w:r>
      <w:r w:rsidR="00A20D38" w:rsidRPr="00822A12">
        <w:rPr>
          <w:color w:val="000000"/>
          <w:sz w:val="12"/>
          <w:szCs w:val="12"/>
        </w:rPr>
        <w:t>Lt</w:t>
      </w:r>
      <w:r w:rsidR="00A20D38">
        <w:rPr>
          <w:color w:val="000000"/>
          <w:sz w:val="12"/>
          <w:szCs w:val="12"/>
        </w:rPr>
        <w:t>ée</w:t>
      </w:r>
      <w:r w:rsidR="00A20D38" w:rsidRPr="00822A12">
        <w:rPr>
          <w:color w:val="000000"/>
          <w:sz w:val="12"/>
          <w:szCs w:val="12"/>
        </w:rPr>
        <w:t>.</w:t>
      </w:r>
      <w:r w:rsidR="00A20D38">
        <w:rPr>
          <w:color w:val="000000"/>
          <w:sz w:val="12"/>
          <w:szCs w:val="12"/>
        </w:rPr>
        <w:t xml:space="preserve"> </w:t>
      </w:r>
      <w:proofErr w:type="gramStart"/>
      <w:r w:rsidR="00A20D38">
        <w:rPr>
          <w:color w:val="000000"/>
          <w:sz w:val="12"/>
          <w:szCs w:val="12"/>
        </w:rPr>
        <w:t>ou</w:t>
      </w:r>
      <w:proofErr w:type="gramEnd"/>
      <w:r w:rsidR="00A20D38">
        <w:rPr>
          <w:color w:val="000000"/>
          <w:sz w:val="12"/>
          <w:szCs w:val="12"/>
        </w:rPr>
        <w:t xml:space="preserve"> EACOM Timber Corporation</w:t>
      </w:r>
      <w:r w:rsidR="00310010">
        <w:rPr>
          <w:color w:val="000000"/>
          <w:sz w:val="12"/>
          <w:szCs w:val="12"/>
        </w:rPr>
        <w:t xml:space="preserve"> </w:t>
      </w:r>
      <w:r w:rsidR="00A20D38">
        <w:rPr>
          <w:color w:val="000000"/>
          <w:sz w:val="12"/>
          <w:szCs w:val="12"/>
        </w:rPr>
        <w:t xml:space="preserve">en </w:t>
      </w:r>
      <w:r w:rsidR="0004104E" w:rsidRPr="007102C3">
        <w:rPr>
          <w:color w:val="000000"/>
          <w:sz w:val="12"/>
          <w:szCs w:val="12"/>
        </w:rPr>
        <w:t>Ontario</w:t>
      </w:r>
      <w:r w:rsidR="00501F0D" w:rsidRPr="007102C3">
        <w:rPr>
          <w:color w:val="000000"/>
          <w:sz w:val="12"/>
          <w:szCs w:val="12"/>
        </w:rPr>
        <w:t>;</w:t>
      </w:r>
      <w:r w:rsidR="00A33AD4" w:rsidRPr="007102C3">
        <w:rPr>
          <w:color w:val="000000"/>
          <w:sz w:val="12"/>
          <w:szCs w:val="12"/>
        </w:rPr>
        <w:t xml:space="preserve"> c) dans la province de la Colombie-Britannique, dans le cas où des Biens/Services sont fournis à Interfor Corporation;</w:t>
      </w:r>
      <w:r w:rsidR="00501F0D" w:rsidRPr="007102C3">
        <w:rPr>
          <w:color w:val="000000"/>
          <w:sz w:val="12"/>
          <w:szCs w:val="12"/>
        </w:rPr>
        <w:t xml:space="preserve"> </w:t>
      </w:r>
      <w:r w:rsidR="00300682" w:rsidRPr="007102C3">
        <w:rPr>
          <w:color w:val="000000"/>
          <w:sz w:val="12"/>
          <w:szCs w:val="12"/>
        </w:rPr>
        <w:t>d) dans l’État de Washington, dans le cas où des Biens/Services</w:t>
      </w:r>
      <w:r w:rsidR="00300682" w:rsidRPr="0037481F">
        <w:rPr>
          <w:color w:val="000000"/>
          <w:sz w:val="12"/>
          <w:szCs w:val="12"/>
        </w:rPr>
        <w:t xml:space="preserve"> sont fournis des emplacements d’Interfor U.S. Inc. à W</w:t>
      </w:r>
      <w:r w:rsidR="00501F0D">
        <w:rPr>
          <w:color w:val="000000"/>
          <w:sz w:val="12"/>
          <w:szCs w:val="12"/>
        </w:rPr>
        <w:t>ashington ou dans l’Oregon; et e</w:t>
      </w:r>
      <w:r w:rsidR="00300682" w:rsidRPr="0037481F">
        <w:rPr>
          <w:color w:val="000000"/>
          <w:sz w:val="12"/>
          <w:szCs w:val="12"/>
        </w:rPr>
        <w:t xml:space="preserve">) dans l’État de la Géorgie dans tous les autres cas où des </w:t>
      </w:r>
      <w:r w:rsidR="00300682">
        <w:rPr>
          <w:color w:val="000000"/>
          <w:sz w:val="12"/>
          <w:szCs w:val="12"/>
        </w:rPr>
        <w:t>Biens/Services</w:t>
      </w:r>
      <w:r w:rsidR="00300682" w:rsidRPr="0037481F">
        <w:rPr>
          <w:color w:val="000000"/>
          <w:sz w:val="12"/>
          <w:szCs w:val="12"/>
        </w:rPr>
        <w:t xml:space="preserve"> sont fournis à Interfor U.S. Inc.</w:t>
      </w:r>
    </w:p>
    <w:p w14:paraId="51F9559A" w14:textId="77777777" w:rsidR="006E7785" w:rsidRPr="006E7785" w:rsidRDefault="006E7785" w:rsidP="006E7785">
      <w:pPr>
        <w:pStyle w:val="ListParagraph"/>
        <w:rPr>
          <w:sz w:val="12"/>
          <w:szCs w:val="12"/>
        </w:rPr>
      </w:pPr>
    </w:p>
    <w:p w14:paraId="08972AD7" w14:textId="1E37C8D8" w:rsidR="006E7785" w:rsidRPr="00B55ADC" w:rsidRDefault="006E7785" w:rsidP="00892588">
      <w:pPr>
        <w:pStyle w:val="ListParagraph"/>
        <w:tabs>
          <w:tab w:val="left" w:pos="436"/>
        </w:tabs>
        <w:spacing w:after="120"/>
        <w:ind w:left="0" w:right="0"/>
        <w:rPr>
          <w:sz w:val="12"/>
          <w:szCs w:val="12"/>
        </w:rPr>
      </w:pPr>
    </w:p>
    <w:sectPr w:rsidR="006E7785" w:rsidRPr="00B55ADC" w:rsidSect="00D66FF7">
      <w:type w:val="continuous"/>
      <w:pgSz w:w="12240" w:h="15840"/>
      <w:pgMar w:top="720" w:right="720" w:bottom="720" w:left="720" w:header="708" w:footer="964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1FE2" w14:textId="77777777" w:rsidR="0084006E" w:rsidRDefault="0084006E" w:rsidP="00B55ADC">
      <w:r>
        <w:separator/>
      </w:r>
    </w:p>
  </w:endnote>
  <w:endnote w:type="continuationSeparator" w:id="0">
    <w:p w14:paraId="1AAB5C96" w14:textId="77777777" w:rsidR="0084006E" w:rsidRDefault="0084006E" w:rsidP="00B5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6187" w14:textId="0DDFD25E" w:rsidR="0084006E" w:rsidRDefault="0084006E">
    <w:pPr>
      <w:pStyle w:val="BodyText"/>
      <w:spacing w:line="14" w:lineRule="auto"/>
      <w:rPr>
        <w:sz w:val="20"/>
      </w:rPr>
    </w:pPr>
    <w:r>
      <w:rPr>
        <w:noProof/>
        <w:color w:val="000000"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28D53C" wp14:editId="5FF18A1B">
              <wp:simplePos x="0" y="0"/>
              <wp:positionH relativeFrom="page">
                <wp:posOffset>638175</wp:posOffset>
              </wp:positionH>
              <wp:positionV relativeFrom="page">
                <wp:posOffset>9670746</wp:posOffset>
              </wp:positionV>
              <wp:extent cx="3630930" cy="211455"/>
              <wp:effectExtent l="0" t="0" r="762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9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E63A4" w14:textId="77777777" w:rsidR="00722296" w:rsidRDefault="0084006E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CONDITIONS GÉNÉRALES D’ACHAT DE BIENS D’ÉQUIPEMENT ET DE SERVICES </w:t>
                          </w:r>
                        </w:p>
                        <w:p w14:paraId="7929E69B" w14:textId="784DB825" w:rsidR="0084006E" w:rsidRDefault="0084006E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000000"/>
                            </w:rPr>
                            <w:t>(v.</w:t>
                          </w:r>
                          <w:r w:rsidR="00722296">
                            <w:rPr>
                              <w:color w:val="000000"/>
                            </w:rPr>
                            <w:t>2022-11-02</w:t>
                          </w:r>
                          <w:r>
                            <w:rPr>
                              <w:color w:val="00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8D5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.25pt;margin-top:761.5pt;width:285.9pt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Dv1gEAAJEDAAAOAAAAZHJzL2Uyb0RvYy54bWysU8Fu1DAQvSPxD5bvbJJdWkG02aq0KkIq&#10;FKn0AxzHTiwSjxl7N1m+nrGz2QK9IS7WZMZ+896byfZqGnp2UOgN2IoXq5wzZSU0xrYVf/p29+Yd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" filled="f" stroked="f">
              <v:textbox inset="0,0,0,0">
                <w:txbxContent>
                  <w:p w14:paraId="589E63A4" w14:textId="77777777" w:rsidR="00722296" w:rsidRDefault="0084006E">
                    <w:pPr>
                      <w:pStyle w:val="BodyText"/>
                      <w:spacing w:before="20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CONDITIONS GÉNÉRALES D’ACHAT DE BIENS D’ÉQUIPEMENT ET DE SERVICES </w:t>
                    </w:r>
                  </w:p>
                  <w:p w14:paraId="7929E69B" w14:textId="784DB825" w:rsidR="0084006E" w:rsidRDefault="0084006E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000000"/>
                      </w:rPr>
                      <w:t>(v.</w:t>
                    </w:r>
                    <w:r w:rsidR="00722296">
                      <w:rPr>
                        <w:color w:val="000000"/>
                      </w:rPr>
                      <w:t>2022-11-02</w:t>
                    </w:r>
                    <w:r>
                      <w:rPr>
                        <w:color w:val="00000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891CFC" wp14:editId="0A500A36">
              <wp:simplePos x="0" y="0"/>
              <wp:positionH relativeFrom="page">
                <wp:posOffset>6720205</wp:posOffset>
              </wp:positionH>
              <wp:positionV relativeFrom="page">
                <wp:posOffset>9679305</wp:posOffset>
              </wp:positionV>
              <wp:extent cx="576000" cy="118110"/>
              <wp:effectExtent l="0" t="0" r="1460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6F3EA" w14:textId="5ED97C61" w:rsidR="0084006E" w:rsidRDefault="0084006E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00000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B710B8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91CFC" id="Text Box 1" o:spid="_x0000_s1028" type="#_x0000_t202" style="position:absolute;margin-left:529.15pt;margin-top:762.15pt;width:45.35pt;height: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" filled="f" stroked="f">
              <v:textbox inset="0,0,0,0">
                <w:txbxContent>
                  <w:p w14:paraId="0076F3EA" w14:textId="5ED97C61" w:rsidR="0084006E" w:rsidRDefault="0084006E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000000"/>
                      </w:rPr>
                      <w:t xml:space="preserve">Page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B710B8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228B" w14:textId="77777777" w:rsidR="0084006E" w:rsidRDefault="0084006E" w:rsidP="00B55ADC">
      <w:r>
        <w:separator/>
      </w:r>
    </w:p>
  </w:footnote>
  <w:footnote w:type="continuationSeparator" w:id="0">
    <w:p w14:paraId="6A5E5789" w14:textId="77777777" w:rsidR="0084006E" w:rsidRDefault="0084006E" w:rsidP="00B5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4AC"/>
    <w:multiLevelType w:val="hybridMultilevel"/>
    <w:tmpl w:val="74462DA2"/>
    <w:lvl w:ilvl="0" w:tplc="24B6B83E">
      <w:start w:val="1"/>
      <w:numFmt w:val="lowerLetter"/>
      <w:lvlText w:val="(%1)"/>
      <w:lvlJc w:val="left"/>
      <w:pPr>
        <w:ind w:left="112" w:hanging="226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2"/>
        <w:szCs w:val="12"/>
      </w:rPr>
    </w:lvl>
    <w:lvl w:ilvl="1" w:tplc="A1C810E0">
      <w:numFmt w:val="bullet"/>
      <w:lvlText w:val="•"/>
      <w:lvlJc w:val="left"/>
      <w:pPr>
        <w:ind w:left="616" w:hanging="226"/>
      </w:pPr>
      <w:rPr>
        <w:rFonts w:hint="default"/>
      </w:rPr>
    </w:lvl>
    <w:lvl w:ilvl="2" w:tplc="DA101574">
      <w:numFmt w:val="bullet"/>
      <w:lvlText w:val="•"/>
      <w:lvlJc w:val="left"/>
      <w:pPr>
        <w:ind w:left="1113" w:hanging="226"/>
      </w:pPr>
      <w:rPr>
        <w:rFonts w:hint="default"/>
      </w:rPr>
    </w:lvl>
    <w:lvl w:ilvl="3" w:tplc="7A1887A6">
      <w:numFmt w:val="bullet"/>
      <w:lvlText w:val="•"/>
      <w:lvlJc w:val="left"/>
      <w:pPr>
        <w:ind w:left="1610" w:hanging="226"/>
      </w:pPr>
      <w:rPr>
        <w:rFonts w:hint="default"/>
      </w:rPr>
    </w:lvl>
    <w:lvl w:ilvl="4" w:tplc="5FBC4800">
      <w:numFmt w:val="bullet"/>
      <w:lvlText w:val="•"/>
      <w:lvlJc w:val="left"/>
      <w:pPr>
        <w:ind w:left="2107" w:hanging="226"/>
      </w:pPr>
      <w:rPr>
        <w:rFonts w:hint="default"/>
      </w:rPr>
    </w:lvl>
    <w:lvl w:ilvl="5" w:tplc="B6A2F7BA">
      <w:numFmt w:val="bullet"/>
      <w:lvlText w:val="•"/>
      <w:lvlJc w:val="left"/>
      <w:pPr>
        <w:ind w:left="2604" w:hanging="226"/>
      </w:pPr>
      <w:rPr>
        <w:rFonts w:hint="default"/>
      </w:rPr>
    </w:lvl>
    <w:lvl w:ilvl="6" w:tplc="20FCD22A">
      <w:numFmt w:val="bullet"/>
      <w:lvlText w:val="•"/>
      <w:lvlJc w:val="left"/>
      <w:pPr>
        <w:ind w:left="3100" w:hanging="226"/>
      </w:pPr>
      <w:rPr>
        <w:rFonts w:hint="default"/>
      </w:rPr>
    </w:lvl>
    <w:lvl w:ilvl="7" w:tplc="33AE29C2">
      <w:numFmt w:val="bullet"/>
      <w:lvlText w:val="•"/>
      <w:lvlJc w:val="left"/>
      <w:pPr>
        <w:ind w:left="3597" w:hanging="226"/>
      </w:pPr>
      <w:rPr>
        <w:rFonts w:hint="default"/>
      </w:rPr>
    </w:lvl>
    <w:lvl w:ilvl="8" w:tplc="67E65C34">
      <w:numFmt w:val="bullet"/>
      <w:lvlText w:val="•"/>
      <w:lvlJc w:val="left"/>
      <w:pPr>
        <w:ind w:left="4094" w:hanging="226"/>
      </w:pPr>
      <w:rPr>
        <w:rFonts w:hint="default"/>
      </w:rPr>
    </w:lvl>
  </w:abstractNum>
  <w:abstractNum w:abstractNumId="1" w15:restartNumberingAfterBreak="0">
    <w:nsid w:val="4FF0627D"/>
    <w:multiLevelType w:val="hybridMultilevel"/>
    <w:tmpl w:val="684493B4"/>
    <w:lvl w:ilvl="0" w:tplc="D5CA5F9E">
      <w:start w:val="1"/>
      <w:numFmt w:val="decimal"/>
      <w:lvlText w:val="%1."/>
      <w:lvlJc w:val="left"/>
      <w:pPr>
        <w:ind w:left="112" w:hanging="180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12"/>
        <w:szCs w:val="12"/>
      </w:rPr>
    </w:lvl>
    <w:lvl w:ilvl="1" w:tplc="B50AEAF2">
      <w:numFmt w:val="bullet"/>
      <w:lvlText w:val="•"/>
      <w:lvlJc w:val="left"/>
      <w:pPr>
        <w:ind w:left="616" w:hanging="180"/>
      </w:pPr>
      <w:rPr>
        <w:rFonts w:hint="default"/>
      </w:rPr>
    </w:lvl>
    <w:lvl w:ilvl="2" w:tplc="F446BF44">
      <w:numFmt w:val="bullet"/>
      <w:lvlText w:val="•"/>
      <w:lvlJc w:val="left"/>
      <w:pPr>
        <w:ind w:left="1113" w:hanging="180"/>
      </w:pPr>
      <w:rPr>
        <w:rFonts w:hint="default"/>
      </w:rPr>
    </w:lvl>
    <w:lvl w:ilvl="3" w:tplc="05EC9DFA">
      <w:numFmt w:val="bullet"/>
      <w:lvlText w:val="•"/>
      <w:lvlJc w:val="left"/>
      <w:pPr>
        <w:ind w:left="1610" w:hanging="180"/>
      </w:pPr>
      <w:rPr>
        <w:rFonts w:hint="default"/>
      </w:rPr>
    </w:lvl>
    <w:lvl w:ilvl="4" w:tplc="2C54E6E0">
      <w:numFmt w:val="bullet"/>
      <w:lvlText w:val="•"/>
      <w:lvlJc w:val="left"/>
      <w:pPr>
        <w:ind w:left="2107" w:hanging="180"/>
      </w:pPr>
      <w:rPr>
        <w:rFonts w:hint="default"/>
      </w:rPr>
    </w:lvl>
    <w:lvl w:ilvl="5" w:tplc="BC0A639A">
      <w:numFmt w:val="bullet"/>
      <w:lvlText w:val="•"/>
      <w:lvlJc w:val="left"/>
      <w:pPr>
        <w:ind w:left="2604" w:hanging="180"/>
      </w:pPr>
      <w:rPr>
        <w:rFonts w:hint="default"/>
      </w:rPr>
    </w:lvl>
    <w:lvl w:ilvl="6" w:tplc="879AA066">
      <w:numFmt w:val="bullet"/>
      <w:lvlText w:val="•"/>
      <w:lvlJc w:val="left"/>
      <w:pPr>
        <w:ind w:left="3100" w:hanging="180"/>
      </w:pPr>
      <w:rPr>
        <w:rFonts w:hint="default"/>
      </w:rPr>
    </w:lvl>
    <w:lvl w:ilvl="7" w:tplc="184A4B08">
      <w:numFmt w:val="bullet"/>
      <w:lvlText w:val="•"/>
      <w:lvlJc w:val="left"/>
      <w:pPr>
        <w:ind w:left="3597" w:hanging="180"/>
      </w:pPr>
      <w:rPr>
        <w:rFonts w:hint="default"/>
      </w:rPr>
    </w:lvl>
    <w:lvl w:ilvl="8" w:tplc="C336A930">
      <w:numFmt w:val="bullet"/>
      <w:lvlText w:val="•"/>
      <w:lvlJc w:val="left"/>
      <w:pPr>
        <w:ind w:left="4094" w:hanging="180"/>
      </w:pPr>
      <w:rPr>
        <w:rFonts w:hint="default"/>
      </w:rPr>
    </w:lvl>
  </w:abstractNum>
  <w:num w:numId="1" w16cid:durableId="78059341">
    <w:abstractNumId w:val="1"/>
  </w:num>
  <w:num w:numId="2" w16cid:durableId="72063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DC"/>
    <w:rsid w:val="00001B10"/>
    <w:rsid w:val="00005ADE"/>
    <w:rsid w:val="00012808"/>
    <w:rsid w:val="00016B17"/>
    <w:rsid w:val="000170AD"/>
    <w:rsid w:val="000258E3"/>
    <w:rsid w:val="000307BD"/>
    <w:rsid w:val="00032EFD"/>
    <w:rsid w:val="00034300"/>
    <w:rsid w:val="00035DA2"/>
    <w:rsid w:val="00036139"/>
    <w:rsid w:val="00040063"/>
    <w:rsid w:val="00040DEC"/>
    <w:rsid w:val="0004104E"/>
    <w:rsid w:val="00041C7D"/>
    <w:rsid w:val="00043981"/>
    <w:rsid w:val="0005097A"/>
    <w:rsid w:val="000549C3"/>
    <w:rsid w:val="00057039"/>
    <w:rsid w:val="0006207F"/>
    <w:rsid w:val="00062F3C"/>
    <w:rsid w:val="000631A7"/>
    <w:rsid w:val="00074EFE"/>
    <w:rsid w:val="00075CB1"/>
    <w:rsid w:val="000807ED"/>
    <w:rsid w:val="00080F92"/>
    <w:rsid w:val="00082EE8"/>
    <w:rsid w:val="00082FD0"/>
    <w:rsid w:val="0009069A"/>
    <w:rsid w:val="0009149F"/>
    <w:rsid w:val="0009606E"/>
    <w:rsid w:val="00096776"/>
    <w:rsid w:val="000A1C53"/>
    <w:rsid w:val="000A5FB0"/>
    <w:rsid w:val="000B1E74"/>
    <w:rsid w:val="000C1759"/>
    <w:rsid w:val="000C1762"/>
    <w:rsid w:val="000C2A44"/>
    <w:rsid w:val="000C692C"/>
    <w:rsid w:val="000D07EE"/>
    <w:rsid w:val="000D09F1"/>
    <w:rsid w:val="000D1C92"/>
    <w:rsid w:val="000D77C6"/>
    <w:rsid w:val="000E3D84"/>
    <w:rsid w:val="000E52AC"/>
    <w:rsid w:val="000E5F4E"/>
    <w:rsid w:val="000F3F90"/>
    <w:rsid w:val="000F4A94"/>
    <w:rsid w:val="001020B3"/>
    <w:rsid w:val="00105C60"/>
    <w:rsid w:val="00112C0D"/>
    <w:rsid w:val="001154CE"/>
    <w:rsid w:val="00117078"/>
    <w:rsid w:val="001200BC"/>
    <w:rsid w:val="0012221F"/>
    <w:rsid w:val="001344D1"/>
    <w:rsid w:val="0013469C"/>
    <w:rsid w:val="00144BDA"/>
    <w:rsid w:val="00145D26"/>
    <w:rsid w:val="00150774"/>
    <w:rsid w:val="001569DC"/>
    <w:rsid w:val="00156C98"/>
    <w:rsid w:val="0016022F"/>
    <w:rsid w:val="00162E45"/>
    <w:rsid w:val="00174E92"/>
    <w:rsid w:val="001848D6"/>
    <w:rsid w:val="00191B7C"/>
    <w:rsid w:val="00195C9A"/>
    <w:rsid w:val="001A00EA"/>
    <w:rsid w:val="001A79FA"/>
    <w:rsid w:val="001B048C"/>
    <w:rsid w:val="001B3461"/>
    <w:rsid w:val="001B7911"/>
    <w:rsid w:val="001C36AA"/>
    <w:rsid w:val="001D0040"/>
    <w:rsid w:val="001D0B77"/>
    <w:rsid w:val="001D2D4F"/>
    <w:rsid w:val="001D71FA"/>
    <w:rsid w:val="001D7EBE"/>
    <w:rsid w:val="001E1829"/>
    <w:rsid w:val="001F1D91"/>
    <w:rsid w:val="001F30AF"/>
    <w:rsid w:val="001F41FD"/>
    <w:rsid w:val="00200BEC"/>
    <w:rsid w:val="00200E29"/>
    <w:rsid w:val="0020571B"/>
    <w:rsid w:val="00211F0B"/>
    <w:rsid w:val="00214466"/>
    <w:rsid w:val="0022096F"/>
    <w:rsid w:val="00223024"/>
    <w:rsid w:val="00223A40"/>
    <w:rsid w:val="0022731B"/>
    <w:rsid w:val="002307F0"/>
    <w:rsid w:val="002309FD"/>
    <w:rsid w:val="00240B6F"/>
    <w:rsid w:val="00247B95"/>
    <w:rsid w:val="002515AA"/>
    <w:rsid w:val="00251D9A"/>
    <w:rsid w:val="00262478"/>
    <w:rsid w:val="00267633"/>
    <w:rsid w:val="002706DE"/>
    <w:rsid w:val="002760F3"/>
    <w:rsid w:val="00284B54"/>
    <w:rsid w:val="00285D57"/>
    <w:rsid w:val="00290F94"/>
    <w:rsid w:val="00294466"/>
    <w:rsid w:val="002947E9"/>
    <w:rsid w:val="00297F96"/>
    <w:rsid w:val="002A5879"/>
    <w:rsid w:val="002A5C7A"/>
    <w:rsid w:val="002B19A1"/>
    <w:rsid w:val="002C1DDD"/>
    <w:rsid w:val="002C2B3B"/>
    <w:rsid w:val="002C4D39"/>
    <w:rsid w:val="002C61BB"/>
    <w:rsid w:val="002D4B98"/>
    <w:rsid w:val="002D7CD4"/>
    <w:rsid w:val="002E135A"/>
    <w:rsid w:val="002E24F5"/>
    <w:rsid w:val="002E28F0"/>
    <w:rsid w:val="002E2F04"/>
    <w:rsid w:val="002E6D6E"/>
    <w:rsid w:val="002F732B"/>
    <w:rsid w:val="00300682"/>
    <w:rsid w:val="00301F5B"/>
    <w:rsid w:val="00302C6C"/>
    <w:rsid w:val="00304C51"/>
    <w:rsid w:val="00306403"/>
    <w:rsid w:val="00310010"/>
    <w:rsid w:val="00312C76"/>
    <w:rsid w:val="00312D34"/>
    <w:rsid w:val="0031377A"/>
    <w:rsid w:val="00313821"/>
    <w:rsid w:val="00321240"/>
    <w:rsid w:val="00326320"/>
    <w:rsid w:val="003321EA"/>
    <w:rsid w:val="00334746"/>
    <w:rsid w:val="00335400"/>
    <w:rsid w:val="00341BD6"/>
    <w:rsid w:val="0034267D"/>
    <w:rsid w:val="00343F46"/>
    <w:rsid w:val="0035405A"/>
    <w:rsid w:val="00354DF5"/>
    <w:rsid w:val="003609EA"/>
    <w:rsid w:val="00361BFD"/>
    <w:rsid w:val="003662FB"/>
    <w:rsid w:val="00373327"/>
    <w:rsid w:val="00381D02"/>
    <w:rsid w:val="00391065"/>
    <w:rsid w:val="003923A9"/>
    <w:rsid w:val="003943DD"/>
    <w:rsid w:val="003974D6"/>
    <w:rsid w:val="003A1E77"/>
    <w:rsid w:val="003A2839"/>
    <w:rsid w:val="003A4920"/>
    <w:rsid w:val="003C14B1"/>
    <w:rsid w:val="003C350B"/>
    <w:rsid w:val="003D106F"/>
    <w:rsid w:val="003D50C9"/>
    <w:rsid w:val="003E4DDF"/>
    <w:rsid w:val="003E5D37"/>
    <w:rsid w:val="003E7100"/>
    <w:rsid w:val="003F002F"/>
    <w:rsid w:val="003F4307"/>
    <w:rsid w:val="003F6A1B"/>
    <w:rsid w:val="004029BB"/>
    <w:rsid w:val="00410266"/>
    <w:rsid w:val="004160FA"/>
    <w:rsid w:val="00425217"/>
    <w:rsid w:val="0043608D"/>
    <w:rsid w:val="0044280D"/>
    <w:rsid w:val="00444EAA"/>
    <w:rsid w:val="00454718"/>
    <w:rsid w:val="00455107"/>
    <w:rsid w:val="00457184"/>
    <w:rsid w:val="00481551"/>
    <w:rsid w:val="00482AA6"/>
    <w:rsid w:val="0048538A"/>
    <w:rsid w:val="00493674"/>
    <w:rsid w:val="00494B7D"/>
    <w:rsid w:val="004A03AA"/>
    <w:rsid w:val="004A5D4C"/>
    <w:rsid w:val="004B21FC"/>
    <w:rsid w:val="004B7715"/>
    <w:rsid w:val="004B7AC3"/>
    <w:rsid w:val="004C3C93"/>
    <w:rsid w:val="004D4EA0"/>
    <w:rsid w:val="004D71E3"/>
    <w:rsid w:val="004E4D07"/>
    <w:rsid w:val="004E5A88"/>
    <w:rsid w:val="004E645A"/>
    <w:rsid w:val="004F0A6D"/>
    <w:rsid w:val="004F4140"/>
    <w:rsid w:val="004F7AC0"/>
    <w:rsid w:val="00501F0D"/>
    <w:rsid w:val="00502964"/>
    <w:rsid w:val="00503644"/>
    <w:rsid w:val="0050471E"/>
    <w:rsid w:val="0051677F"/>
    <w:rsid w:val="005178D2"/>
    <w:rsid w:val="00520CC8"/>
    <w:rsid w:val="00520D48"/>
    <w:rsid w:val="0052126F"/>
    <w:rsid w:val="0052358C"/>
    <w:rsid w:val="0052376A"/>
    <w:rsid w:val="00524898"/>
    <w:rsid w:val="00524E05"/>
    <w:rsid w:val="00525842"/>
    <w:rsid w:val="00527533"/>
    <w:rsid w:val="00530742"/>
    <w:rsid w:val="00531780"/>
    <w:rsid w:val="00534F5B"/>
    <w:rsid w:val="00543CCB"/>
    <w:rsid w:val="00544DB1"/>
    <w:rsid w:val="00554431"/>
    <w:rsid w:val="005613E6"/>
    <w:rsid w:val="00561DB0"/>
    <w:rsid w:val="00565BFC"/>
    <w:rsid w:val="00566233"/>
    <w:rsid w:val="005676A9"/>
    <w:rsid w:val="00574765"/>
    <w:rsid w:val="00586505"/>
    <w:rsid w:val="005934CE"/>
    <w:rsid w:val="00594EDD"/>
    <w:rsid w:val="005A7859"/>
    <w:rsid w:val="005B1014"/>
    <w:rsid w:val="005B472B"/>
    <w:rsid w:val="005C0B3A"/>
    <w:rsid w:val="005C0B76"/>
    <w:rsid w:val="005C53A9"/>
    <w:rsid w:val="005D5AF6"/>
    <w:rsid w:val="005D7EC6"/>
    <w:rsid w:val="005E6E37"/>
    <w:rsid w:val="005E7954"/>
    <w:rsid w:val="005F16BA"/>
    <w:rsid w:val="005F51C8"/>
    <w:rsid w:val="005F7110"/>
    <w:rsid w:val="00604832"/>
    <w:rsid w:val="006074E5"/>
    <w:rsid w:val="00611BE9"/>
    <w:rsid w:val="00611C8F"/>
    <w:rsid w:val="0061440C"/>
    <w:rsid w:val="00615DBF"/>
    <w:rsid w:val="00623F68"/>
    <w:rsid w:val="00624A4B"/>
    <w:rsid w:val="00626578"/>
    <w:rsid w:val="00652C17"/>
    <w:rsid w:val="006530F6"/>
    <w:rsid w:val="006553C4"/>
    <w:rsid w:val="00660A7C"/>
    <w:rsid w:val="00662BD5"/>
    <w:rsid w:val="00665E96"/>
    <w:rsid w:val="00667C94"/>
    <w:rsid w:val="006704DA"/>
    <w:rsid w:val="00672112"/>
    <w:rsid w:val="00673308"/>
    <w:rsid w:val="00673A10"/>
    <w:rsid w:val="00682003"/>
    <w:rsid w:val="00682D25"/>
    <w:rsid w:val="00695067"/>
    <w:rsid w:val="00695839"/>
    <w:rsid w:val="00696DB0"/>
    <w:rsid w:val="006A3047"/>
    <w:rsid w:val="006B044C"/>
    <w:rsid w:val="006B4639"/>
    <w:rsid w:val="006B7C79"/>
    <w:rsid w:val="006C6BEA"/>
    <w:rsid w:val="006C6FBB"/>
    <w:rsid w:val="006D0152"/>
    <w:rsid w:val="006E36E7"/>
    <w:rsid w:val="006E37A5"/>
    <w:rsid w:val="006E6270"/>
    <w:rsid w:val="006E7785"/>
    <w:rsid w:val="006F028A"/>
    <w:rsid w:val="006F47F2"/>
    <w:rsid w:val="006F57B6"/>
    <w:rsid w:val="006F72B1"/>
    <w:rsid w:val="006F7DDA"/>
    <w:rsid w:val="007006AA"/>
    <w:rsid w:val="00701AFC"/>
    <w:rsid w:val="0070596E"/>
    <w:rsid w:val="007102C3"/>
    <w:rsid w:val="00715121"/>
    <w:rsid w:val="00715644"/>
    <w:rsid w:val="00717EC2"/>
    <w:rsid w:val="00721903"/>
    <w:rsid w:val="00721E5F"/>
    <w:rsid w:val="00722296"/>
    <w:rsid w:val="007321B9"/>
    <w:rsid w:val="007346BF"/>
    <w:rsid w:val="00734B40"/>
    <w:rsid w:val="00736343"/>
    <w:rsid w:val="00736506"/>
    <w:rsid w:val="007444C3"/>
    <w:rsid w:val="00756F15"/>
    <w:rsid w:val="007707B7"/>
    <w:rsid w:val="00773BF2"/>
    <w:rsid w:val="00774745"/>
    <w:rsid w:val="00781904"/>
    <w:rsid w:val="00787CCD"/>
    <w:rsid w:val="007935C3"/>
    <w:rsid w:val="00793EC7"/>
    <w:rsid w:val="0079438D"/>
    <w:rsid w:val="00795099"/>
    <w:rsid w:val="007961B0"/>
    <w:rsid w:val="00797A41"/>
    <w:rsid w:val="007A08DC"/>
    <w:rsid w:val="007A1658"/>
    <w:rsid w:val="007A39C3"/>
    <w:rsid w:val="007A3D0D"/>
    <w:rsid w:val="007A4F73"/>
    <w:rsid w:val="007A6876"/>
    <w:rsid w:val="007B4BB3"/>
    <w:rsid w:val="007B58E3"/>
    <w:rsid w:val="007C14C0"/>
    <w:rsid w:val="007C3FF8"/>
    <w:rsid w:val="007C49BF"/>
    <w:rsid w:val="007C4B5A"/>
    <w:rsid w:val="007C7146"/>
    <w:rsid w:val="007D36A9"/>
    <w:rsid w:val="007E0039"/>
    <w:rsid w:val="007E1545"/>
    <w:rsid w:val="007E2C3A"/>
    <w:rsid w:val="007E507A"/>
    <w:rsid w:val="007E6E3C"/>
    <w:rsid w:val="007E6F65"/>
    <w:rsid w:val="007F0C13"/>
    <w:rsid w:val="008101FA"/>
    <w:rsid w:val="00817B5F"/>
    <w:rsid w:val="00824867"/>
    <w:rsid w:val="0082653F"/>
    <w:rsid w:val="0082710F"/>
    <w:rsid w:val="008301E1"/>
    <w:rsid w:val="00830D08"/>
    <w:rsid w:val="0083287D"/>
    <w:rsid w:val="00832E58"/>
    <w:rsid w:val="00834BFD"/>
    <w:rsid w:val="0084006E"/>
    <w:rsid w:val="0085265B"/>
    <w:rsid w:val="00853D9E"/>
    <w:rsid w:val="00860DDD"/>
    <w:rsid w:val="00867E0B"/>
    <w:rsid w:val="00873906"/>
    <w:rsid w:val="00877148"/>
    <w:rsid w:val="00886C4A"/>
    <w:rsid w:val="0089023B"/>
    <w:rsid w:val="00892588"/>
    <w:rsid w:val="00892D4D"/>
    <w:rsid w:val="008955C7"/>
    <w:rsid w:val="008959E6"/>
    <w:rsid w:val="0089617B"/>
    <w:rsid w:val="008970E0"/>
    <w:rsid w:val="00897AF3"/>
    <w:rsid w:val="008A538C"/>
    <w:rsid w:val="008A6565"/>
    <w:rsid w:val="008B0B2A"/>
    <w:rsid w:val="008C11C4"/>
    <w:rsid w:val="008D22FA"/>
    <w:rsid w:val="008D2C9C"/>
    <w:rsid w:val="008D654B"/>
    <w:rsid w:val="008E43FF"/>
    <w:rsid w:val="008E4997"/>
    <w:rsid w:val="008E7E1D"/>
    <w:rsid w:val="008F1F5F"/>
    <w:rsid w:val="008F4209"/>
    <w:rsid w:val="008F491A"/>
    <w:rsid w:val="008F4E5F"/>
    <w:rsid w:val="00905836"/>
    <w:rsid w:val="00910123"/>
    <w:rsid w:val="00911854"/>
    <w:rsid w:val="009124F9"/>
    <w:rsid w:val="009147F2"/>
    <w:rsid w:val="0091556A"/>
    <w:rsid w:val="009249F9"/>
    <w:rsid w:val="00931836"/>
    <w:rsid w:val="00931D73"/>
    <w:rsid w:val="009459AF"/>
    <w:rsid w:val="00956D1B"/>
    <w:rsid w:val="00964ADD"/>
    <w:rsid w:val="00965278"/>
    <w:rsid w:val="00965EEE"/>
    <w:rsid w:val="00966B6F"/>
    <w:rsid w:val="0097080E"/>
    <w:rsid w:val="00973EC6"/>
    <w:rsid w:val="009751E5"/>
    <w:rsid w:val="00975525"/>
    <w:rsid w:val="00976BB3"/>
    <w:rsid w:val="00981D1F"/>
    <w:rsid w:val="00984B88"/>
    <w:rsid w:val="009927EF"/>
    <w:rsid w:val="00995911"/>
    <w:rsid w:val="00995BB7"/>
    <w:rsid w:val="00996207"/>
    <w:rsid w:val="0099662A"/>
    <w:rsid w:val="009A06A4"/>
    <w:rsid w:val="009A0C2A"/>
    <w:rsid w:val="009A64C1"/>
    <w:rsid w:val="009B3B18"/>
    <w:rsid w:val="009C1824"/>
    <w:rsid w:val="009C6574"/>
    <w:rsid w:val="009C754E"/>
    <w:rsid w:val="009D01AC"/>
    <w:rsid w:val="009D30FD"/>
    <w:rsid w:val="009E2294"/>
    <w:rsid w:val="009E380B"/>
    <w:rsid w:val="009F1E00"/>
    <w:rsid w:val="009F2DF2"/>
    <w:rsid w:val="00A0215D"/>
    <w:rsid w:val="00A05385"/>
    <w:rsid w:val="00A15180"/>
    <w:rsid w:val="00A16044"/>
    <w:rsid w:val="00A20D38"/>
    <w:rsid w:val="00A24628"/>
    <w:rsid w:val="00A27963"/>
    <w:rsid w:val="00A33AD4"/>
    <w:rsid w:val="00A35A19"/>
    <w:rsid w:val="00A41C53"/>
    <w:rsid w:val="00A42B08"/>
    <w:rsid w:val="00A451E6"/>
    <w:rsid w:val="00A47219"/>
    <w:rsid w:val="00A5031E"/>
    <w:rsid w:val="00A50E39"/>
    <w:rsid w:val="00A52592"/>
    <w:rsid w:val="00A57A52"/>
    <w:rsid w:val="00A60FE7"/>
    <w:rsid w:val="00A620C4"/>
    <w:rsid w:val="00A83346"/>
    <w:rsid w:val="00A90546"/>
    <w:rsid w:val="00A90C80"/>
    <w:rsid w:val="00A9359D"/>
    <w:rsid w:val="00AB6D5D"/>
    <w:rsid w:val="00AC07BA"/>
    <w:rsid w:val="00AC1ABC"/>
    <w:rsid w:val="00AC2E33"/>
    <w:rsid w:val="00AC3A3F"/>
    <w:rsid w:val="00AC6446"/>
    <w:rsid w:val="00AE6842"/>
    <w:rsid w:val="00AF30E7"/>
    <w:rsid w:val="00AF396F"/>
    <w:rsid w:val="00B02D1E"/>
    <w:rsid w:val="00B045B5"/>
    <w:rsid w:val="00B10E66"/>
    <w:rsid w:val="00B11F28"/>
    <w:rsid w:val="00B20A70"/>
    <w:rsid w:val="00B21C64"/>
    <w:rsid w:val="00B24196"/>
    <w:rsid w:val="00B3092C"/>
    <w:rsid w:val="00B36ED2"/>
    <w:rsid w:val="00B378B3"/>
    <w:rsid w:val="00B40279"/>
    <w:rsid w:val="00B455C5"/>
    <w:rsid w:val="00B53CDD"/>
    <w:rsid w:val="00B545CF"/>
    <w:rsid w:val="00B55ADC"/>
    <w:rsid w:val="00B5660A"/>
    <w:rsid w:val="00B66BA1"/>
    <w:rsid w:val="00B710B8"/>
    <w:rsid w:val="00B726C9"/>
    <w:rsid w:val="00B741B1"/>
    <w:rsid w:val="00B76D41"/>
    <w:rsid w:val="00B81B84"/>
    <w:rsid w:val="00B82914"/>
    <w:rsid w:val="00B9276F"/>
    <w:rsid w:val="00B943A9"/>
    <w:rsid w:val="00BA1FA7"/>
    <w:rsid w:val="00BA2064"/>
    <w:rsid w:val="00BA6CE5"/>
    <w:rsid w:val="00BB4E03"/>
    <w:rsid w:val="00BB54D7"/>
    <w:rsid w:val="00BC21CD"/>
    <w:rsid w:val="00BC226C"/>
    <w:rsid w:val="00BC575E"/>
    <w:rsid w:val="00BC5C4F"/>
    <w:rsid w:val="00BD303D"/>
    <w:rsid w:val="00BD71DE"/>
    <w:rsid w:val="00BD76FD"/>
    <w:rsid w:val="00BE0DE5"/>
    <w:rsid w:val="00BE2780"/>
    <w:rsid w:val="00BE31B3"/>
    <w:rsid w:val="00BE44D5"/>
    <w:rsid w:val="00BE5B7F"/>
    <w:rsid w:val="00BE69A6"/>
    <w:rsid w:val="00BE799F"/>
    <w:rsid w:val="00BF5518"/>
    <w:rsid w:val="00C01B62"/>
    <w:rsid w:val="00C03913"/>
    <w:rsid w:val="00C03A8F"/>
    <w:rsid w:val="00C0620B"/>
    <w:rsid w:val="00C132FF"/>
    <w:rsid w:val="00C15071"/>
    <w:rsid w:val="00C26068"/>
    <w:rsid w:val="00C31B09"/>
    <w:rsid w:val="00C31E97"/>
    <w:rsid w:val="00C34562"/>
    <w:rsid w:val="00C36423"/>
    <w:rsid w:val="00C36650"/>
    <w:rsid w:val="00C37A7C"/>
    <w:rsid w:val="00C4469A"/>
    <w:rsid w:val="00C5319B"/>
    <w:rsid w:val="00C5648C"/>
    <w:rsid w:val="00C62159"/>
    <w:rsid w:val="00C62663"/>
    <w:rsid w:val="00C67327"/>
    <w:rsid w:val="00C72826"/>
    <w:rsid w:val="00C72862"/>
    <w:rsid w:val="00C75160"/>
    <w:rsid w:val="00C80542"/>
    <w:rsid w:val="00C8283B"/>
    <w:rsid w:val="00C86A18"/>
    <w:rsid w:val="00C908FF"/>
    <w:rsid w:val="00C91BD5"/>
    <w:rsid w:val="00C91D5C"/>
    <w:rsid w:val="00CA026F"/>
    <w:rsid w:val="00CA79C1"/>
    <w:rsid w:val="00CB2EA7"/>
    <w:rsid w:val="00CB366C"/>
    <w:rsid w:val="00CB36AB"/>
    <w:rsid w:val="00CB51DF"/>
    <w:rsid w:val="00CB7136"/>
    <w:rsid w:val="00CD1ABA"/>
    <w:rsid w:val="00CD1E62"/>
    <w:rsid w:val="00CD779A"/>
    <w:rsid w:val="00CE392C"/>
    <w:rsid w:val="00CE42E3"/>
    <w:rsid w:val="00CE4FA4"/>
    <w:rsid w:val="00CE6DAB"/>
    <w:rsid w:val="00CE7149"/>
    <w:rsid w:val="00CE7206"/>
    <w:rsid w:val="00CF049F"/>
    <w:rsid w:val="00CF6CA3"/>
    <w:rsid w:val="00D01D19"/>
    <w:rsid w:val="00D02F7C"/>
    <w:rsid w:val="00D03643"/>
    <w:rsid w:val="00D03BC0"/>
    <w:rsid w:val="00D1150C"/>
    <w:rsid w:val="00D22382"/>
    <w:rsid w:val="00D24FC6"/>
    <w:rsid w:val="00D31732"/>
    <w:rsid w:val="00D31E96"/>
    <w:rsid w:val="00D325CD"/>
    <w:rsid w:val="00D3301E"/>
    <w:rsid w:val="00D34630"/>
    <w:rsid w:val="00D35348"/>
    <w:rsid w:val="00D4166B"/>
    <w:rsid w:val="00D43D93"/>
    <w:rsid w:val="00D46EFA"/>
    <w:rsid w:val="00D514DC"/>
    <w:rsid w:val="00D53CE3"/>
    <w:rsid w:val="00D53F21"/>
    <w:rsid w:val="00D60C7A"/>
    <w:rsid w:val="00D61561"/>
    <w:rsid w:val="00D61A49"/>
    <w:rsid w:val="00D634D3"/>
    <w:rsid w:val="00D66FF7"/>
    <w:rsid w:val="00D726B4"/>
    <w:rsid w:val="00D73116"/>
    <w:rsid w:val="00D73711"/>
    <w:rsid w:val="00D75EEC"/>
    <w:rsid w:val="00D8745A"/>
    <w:rsid w:val="00D87611"/>
    <w:rsid w:val="00DA4CEB"/>
    <w:rsid w:val="00DA583F"/>
    <w:rsid w:val="00DA780C"/>
    <w:rsid w:val="00DA7A2E"/>
    <w:rsid w:val="00DB7314"/>
    <w:rsid w:val="00DC1BFC"/>
    <w:rsid w:val="00DC469F"/>
    <w:rsid w:val="00DC70F6"/>
    <w:rsid w:val="00DD253F"/>
    <w:rsid w:val="00DD3A93"/>
    <w:rsid w:val="00DD4333"/>
    <w:rsid w:val="00DD4B4A"/>
    <w:rsid w:val="00DE5C01"/>
    <w:rsid w:val="00DE5F39"/>
    <w:rsid w:val="00DF22E8"/>
    <w:rsid w:val="00DF2BBD"/>
    <w:rsid w:val="00DF3CE2"/>
    <w:rsid w:val="00DF5B0D"/>
    <w:rsid w:val="00E05F53"/>
    <w:rsid w:val="00E06AB7"/>
    <w:rsid w:val="00E114B8"/>
    <w:rsid w:val="00E1192A"/>
    <w:rsid w:val="00E12D29"/>
    <w:rsid w:val="00E136FD"/>
    <w:rsid w:val="00E14439"/>
    <w:rsid w:val="00E35FDE"/>
    <w:rsid w:val="00E377D9"/>
    <w:rsid w:val="00E4085C"/>
    <w:rsid w:val="00E45110"/>
    <w:rsid w:val="00E46E45"/>
    <w:rsid w:val="00E57638"/>
    <w:rsid w:val="00E60C2A"/>
    <w:rsid w:val="00E73E2A"/>
    <w:rsid w:val="00E76437"/>
    <w:rsid w:val="00E76F85"/>
    <w:rsid w:val="00E87482"/>
    <w:rsid w:val="00E87ED8"/>
    <w:rsid w:val="00E91BDB"/>
    <w:rsid w:val="00E91CB6"/>
    <w:rsid w:val="00E94FA1"/>
    <w:rsid w:val="00E95290"/>
    <w:rsid w:val="00EA3DBD"/>
    <w:rsid w:val="00EA47AE"/>
    <w:rsid w:val="00EA4AA8"/>
    <w:rsid w:val="00EB499F"/>
    <w:rsid w:val="00EB4F14"/>
    <w:rsid w:val="00EB508B"/>
    <w:rsid w:val="00EB5CBE"/>
    <w:rsid w:val="00EB6514"/>
    <w:rsid w:val="00EC0C0E"/>
    <w:rsid w:val="00EC0D30"/>
    <w:rsid w:val="00EC1256"/>
    <w:rsid w:val="00EC1B67"/>
    <w:rsid w:val="00ED0E96"/>
    <w:rsid w:val="00ED3736"/>
    <w:rsid w:val="00ED3D58"/>
    <w:rsid w:val="00EE4E2D"/>
    <w:rsid w:val="00EE5A7F"/>
    <w:rsid w:val="00EE69C0"/>
    <w:rsid w:val="00EF04DB"/>
    <w:rsid w:val="00EF211A"/>
    <w:rsid w:val="00EF3C3A"/>
    <w:rsid w:val="00EF5D84"/>
    <w:rsid w:val="00EF7B7C"/>
    <w:rsid w:val="00F0151F"/>
    <w:rsid w:val="00F02167"/>
    <w:rsid w:val="00F02CC4"/>
    <w:rsid w:val="00F05A90"/>
    <w:rsid w:val="00F07C57"/>
    <w:rsid w:val="00F20702"/>
    <w:rsid w:val="00F249F2"/>
    <w:rsid w:val="00F353C4"/>
    <w:rsid w:val="00F41D37"/>
    <w:rsid w:val="00F42202"/>
    <w:rsid w:val="00F43541"/>
    <w:rsid w:val="00F45248"/>
    <w:rsid w:val="00F63B0F"/>
    <w:rsid w:val="00F73FB7"/>
    <w:rsid w:val="00F752DB"/>
    <w:rsid w:val="00F813AC"/>
    <w:rsid w:val="00F92668"/>
    <w:rsid w:val="00F938F3"/>
    <w:rsid w:val="00FA18CE"/>
    <w:rsid w:val="00FA3F2C"/>
    <w:rsid w:val="00FA56E2"/>
    <w:rsid w:val="00FA5C62"/>
    <w:rsid w:val="00FA67D2"/>
    <w:rsid w:val="00FB2A28"/>
    <w:rsid w:val="00FB6490"/>
    <w:rsid w:val="00FC15C3"/>
    <w:rsid w:val="00FC215C"/>
    <w:rsid w:val="00FD441A"/>
    <w:rsid w:val="00FD6D45"/>
    <w:rsid w:val="00FE07C5"/>
    <w:rsid w:val="00FE10F5"/>
    <w:rsid w:val="00FE43E8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5052B"/>
  <w15:chartTrackingRefBased/>
  <w15:docId w15:val="{073F4409-4F62-457E-B20D-559FB344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21"/>
  </w:style>
  <w:style w:type="paragraph" w:styleId="Heading1">
    <w:name w:val="heading 1"/>
    <w:basedOn w:val="Normal"/>
    <w:link w:val="Heading1Char"/>
    <w:uiPriority w:val="9"/>
    <w:qFormat/>
    <w:rsid w:val="00B55ADC"/>
    <w:pPr>
      <w:widowControl w:val="0"/>
      <w:autoSpaceDE w:val="0"/>
      <w:autoSpaceDN w:val="0"/>
      <w:ind w:left="2466" w:right="39"/>
      <w:jc w:val="center"/>
      <w:outlineLvl w:val="0"/>
    </w:pPr>
    <w:rPr>
      <w:rFonts w:ascii="Verdana" w:eastAsia="Verdana" w:hAnsi="Verdana" w:cs="Verdana"/>
      <w:b/>
      <w:bCs/>
      <w:sz w:val="12"/>
      <w:szCs w:val="1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5ADC"/>
    <w:pPr>
      <w:widowControl w:val="0"/>
      <w:autoSpaceDE w:val="0"/>
      <w:autoSpaceDN w:val="0"/>
    </w:pPr>
    <w:rPr>
      <w:rFonts w:ascii="Verdana" w:eastAsia="Verdana" w:hAnsi="Verdana" w:cs="Verdana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B55ADC"/>
    <w:rPr>
      <w:rFonts w:ascii="Verdana" w:eastAsia="Verdana" w:hAnsi="Verdana" w:cs="Verdana"/>
      <w:sz w:val="12"/>
      <w:szCs w:val="12"/>
    </w:rPr>
  </w:style>
  <w:style w:type="paragraph" w:styleId="ListParagraph">
    <w:name w:val="List Paragraph"/>
    <w:basedOn w:val="Normal"/>
    <w:uiPriority w:val="1"/>
    <w:qFormat/>
    <w:rsid w:val="00B55ADC"/>
    <w:pPr>
      <w:widowControl w:val="0"/>
      <w:autoSpaceDE w:val="0"/>
      <w:autoSpaceDN w:val="0"/>
      <w:ind w:left="111" w:right="103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B55ADC"/>
    <w:pPr>
      <w:widowControl w:val="0"/>
      <w:autoSpaceDE w:val="0"/>
      <w:autoSpaceDN w:val="0"/>
    </w:pPr>
    <w:rPr>
      <w:rFonts w:ascii="Verdana" w:eastAsia="Verdana" w:hAnsi="Verdana" w:cs="Verdana"/>
    </w:rPr>
  </w:style>
  <w:style w:type="character" w:customStyle="1" w:styleId="Heading1Char">
    <w:name w:val="Heading 1 Char"/>
    <w:basedOn w:val="DefaultParagraphFont"/>
    <w:link w:val="Heading1"/>
    <w:uiPriority w:val="9"/>
    <w:rsid w:val="00B55ADC"/>
    <w:rPr>
      <w:rFonts w:ascii="Verdana" w:eastAsia="Verdana" w:hAnsi="Verdana" w:cs="Verdana"/>
      <w:b/>
      <w:bCs/>
      <w:sz w:val="12"/>
      <w:szCs w:val="12"/>
    </w:rPr>
  </w:style>
  <w:style w:type="paragraph" w:styleId="Title">
    <w:name w:val="Title"/>
    <w:basedOn w:val="Normal"/>
    <w:link w:val="TitleChar"/>
    <w:uiPriority w:val="10"/>
    <w:qFormat/>
    <w:rsid w:val="00B55ADC"/>
    <w:pPr>
      <w:widowControl w:val="0"/>
      <w:autoSpaceDE w:val="0"/>
      <w:autoSpaceDN w:val="0"/>
      <w:spacing w:before="73"/>
      <w:ind w:left="2118" w:right="1809" w:firstLine="86"/>
    </w:pPr>
    <w:rPr>
      <w:rFonts w:ascii="Verdana" w:eastAsia="Verdana" w:hAnsi="Verdana" w:cs="Verdana"/>
      <w:b/>
      <w:bCs/>
      <w:sz w:val="12"/>
      <w:szCs w:val="12"/>
    </w:rPr>
  </w:style>
  <w:style w:type="character" w:customStyle="1" w:styleId="TitleChar">
    <w:name w:val="Title Char"/>
    <w:basedOn w:val="DefaultParagraphFont"/>
    <w:link w:val="Title"/>
    <w:uiPriority w:val="10"/>
    <w:rsid w:val="00B55ADC"/>
    <w:rPr>
      <w:rFonts w:ascii="Verdana" w:eastAsia="Verdana" w:hAnsi="Verdana" w:cs="Verdana"/>
      <w:b/>
      <w:bCs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B55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DC"/>
  </w:style>
  <w:style w:type="paragraph" w:styleId="Footer">
    <w:name w:val="footer"/>
    <w:basedOn w:val="Normal"/>
    <w:link w:val="FooterChar"/>
    <w:uiPriority w:val="99"/>
    <w:unhideWhenUsed/>
    <w:rsid w:val="00B55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DC"/>
  </w:style>
  <w:style w:type="character" w:styleId="CommentReference">
    <w:name w:val="annotation reference"/>
    <w:basedOn w:val="DefaultParagraphFont"/>
    <w:uiPriority w:val="99"/>
    <w:semiHidden/>
    <w:unhideWhenUsed/>
    <w:rsid w:val="00EE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E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2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E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E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682"/>
    <w:rPr>
      <w:color w:val="605E5C"/>
      <w:shd w:val="clear" w:color="auto" w:fill="E1DFDD"/>
    </w:rPr>
  </w:style>
  <w:style w:type="paragraph" w:customStyle="1" w:styleId="MTBody">
    <w:name w:val="MTBody"/>
    <w:basedOn w:val="Normal"/>
    <w:qFormat/>
    <w:rsid w:val="00300682"/>
    <w:pPr>
      <w:spacing w:after="240"/>
    </w:pPr>
    <w:rPr>
      <w:rFonts w:ascii="Arial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interfor.com/terms-and-condi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terfor.c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for.com/terms-and-condition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D70E02E466E7F643B241781DB3B2EE240007C813021D13814A88D85249A7DD8828" ma:contentTypeVersion="13" ma:contentTypeDescription="Create a new document." ma:contentTypeScope="" ma:versionID="47c41336714f52dde9b6fc07252df35b">
  <xsd:schema xmlns:xsd="http://www.w3.org/2001/XMLSchema" xmlns:xs="http://www.w3.org/2001/XMLSchema" xmlns:p="http://schemas.microsoft.com/office/2006/metadata/properties" xmlns:ns2="63bcab3b-0052-4e5f-a75c-991d8e84c9b6" xmlns:ns3="http://schemas.microsoft.com/sharepoint/v3/fields" xmlns:ns4="826d9bf5-8b43-4bbf-a6ed-37453cf70622" targetNamespace="http://schemas.microsoft.com/office/2006/metadata/properties" ma:root="true" ma:fieldsID="7c7bcdc732e85b2d7ecdf4e8a20fa045" ns2:_="" ns3:_="" ns4:_="">
    <xsd:import namespace="63bcab3b-0052-4e5f-a75c-991d8e84c9b6"/>
    <xsd:import namespace="http://schemas.microsoft.com/sharepoint/v3/fields"/>
    <xsd:import namespace="826d9bf5-8b43-4bbf-a6ed-37453cf70622"/>
    <xsd:element name="properties">
      <xsd:complexType>
        <xsd:sequence>
          <xsd:element name="documentManagement">
            <xsd:complexType>
              <xsd:all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_dlc_DocId" minOccurs="0"/>
                <xsd:element ref="ns2:_dlc_DocIdUrl" minOccurs="0"/>
                <xsd:element ref="ns2:_dlc_DocIdPersistId" minOccurs="0"/>
                <xsd:element ref="ns2:ha2b5682061b490983f9b393e3ec2c62" minOccurs="0"/>
                <xsd:element ref="ns2:TaxCatchAll" minOccurs="0"/>
                <xsd:element ref="ns2:TaxCatchAllLabel" minOccurs="0"/>
                <xsd:element ref="ns2:he3a18a126d0476385d54c359e99625f" minOccurs="0"/>
                <xsd:element ref="ns3:ShortComment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cab3b-0052-4e5f-a75c-991d8e84c9b6" elementFormDefault="qualified">
    <xsd:import namespace="http://schemas.microsoft.com/office/2006/documentManagement/types"/>
    <xsd:import namespace="http://schemas.microsoft.com/office/infopath/2007/PartnerControls"/>
    <xsd:element name="ClientName" ma:index="2" nillable="true" ma:displayName="ClientName" ma:default="Interfor Corporation" ma:internalName="ClientName" ma:readOnly="false">
      <xsd:simpleType>
        <xsd:restriction base="dms:Text"/>
      </xsd:simpleType>
    </xsd:element>
    <xsd:element name="ClientCode" ma:index="3" nillable="true" ma:displayName="ClientCode" ma:default="161076" ma:internalName="ClientCode" ma:readOnly="false">
      <xsd:simpleType>
        <xsd:restriction base="dms:Text"/>
      </xsd:simpleType>
    </xsd:element>
    <xsd:element name="MatterName" ma:index="4" nillable="true" ma:displayName="MatterName" ma:default="Interfor - General" ma:internalName="MatterName" ma:readOnly="false">
      <xsd:simpleType>
        <xsd:restriction base="dms:Text"/>
      </xsd:simpleType>
    </xsd:element>
    <xsd:element name="MatterCode" ma:index="5" nillable="true" ma:displayName="MatterCode" ma:default="354673" ma:internalName="MatterCode" ma:readOnly="false">
      <xsd:simpleType>
        <xsd:restriction base="dms:Text"/>
      </xsd:simpleType>
    </xsd:element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a2b5682061b490983f9b393e3ec2c62" ma:index="15" nillable="true" ma:taxonomy="true" ma:internalName="ha2b5682061b490983f9b393e3ec2c62" ma:taxonomyFieldName="MTDivision" ma:displayName="MT Division" ma:readOnly="false" ma:default="-1;#MTVersion|be1a01c1-144e-4a9e-a6ba-ae5eb384c8da" ma:fieldId="{1a2b5682-061b-4909-83f9-b393e3ec2c62}" ma:sspId="ec44581f-8541-4d46-a55d-88046e813441" ma:termSetId="3563b1f3-2181-48b7-9fcb-83c27ed77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f8033fc-88b3-46c9-be59-2f73555eb4ea}" ma:internalName="TaxCatchAll" ma:showField="CatchAllData" ma:web="63bcab3b-0052-4e5f-a75c-991d8e84c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f8033fc-88b3-46c9-be59-2f73555eb4ea}" ma:internalName="TaxCatchAllLabel" ma:readOnly="true" ma:showField="CatchAllDataLabel" ma:web="63bcab3b-0052-4e5f-a75c-991d8e84c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3a18a126d0476385d54c359e99625f" ma:index="19" nillable="true" ma:taxonomy="true" ma:internalName="he3a18a126d0476385d54c359e99625f" ma:taxonomyFieldName="DocumentType" ma:displayName="DocumentType" ma:readOnly="false" ma:fieldId="{1e3a18a1-26d0-4763-85d5-4c359e99625f}" ma:sspId="ec44581f-8541-4d46-a55d-88046e813441" ma:termSetId="cc2776fc-c463-4af7-b100-d4cb645c32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21" nillable="true" ma:displayName="Comments" ma:internalName="Short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d9bf5-8b43-4bbf-a6ed-37453cf70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 M T D O C S ! 4 4 2 0 6 4 3 6 . 4 < / d o c u m e n t i d >  
     < s e n d e r i d > G G I G U E R E < / s e n d e r i d >  
     < s e n d e r e m a i l > G G I G U E R E @ M C C A R T H Y . C A < / s e n d e r e m a i l >  
     < l a s t m o d i f i e d > 2 0 2 2 - 0 3 - 1 5 T 1 8 : 3 1 : 0 0 . 0 0 0 0 0 0 0 - 0 4 : 0 0 < / l a s t m o d i f i e d >  
     < d a t a b a s e > M T D O C S 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63bcab3b-0052-4e5f-a75c-991d8e84c9b6">Interfor Corporation</ClientName>
    <ClientCode xmlns="63bcab3b-0052-4e5f-a75c-991d8e84c9b6">161076</ClientCode>
    <MatterName xmlns="63bcab3b-0052-4e5f-a75c-991d8e84c9b6">Interfor - General</MatterName>
    <MatterCode xmlns="63bcab3b-0052-4e5f-a75c-991d8e84c9b6">354673</MatterCode>
    <ha2b5682061b490983f9b393e3ec2c62 xmlns="63bcab3b-0052-4e5f-a75c-991d8e84c9b6">
      <Terms xmlns="http://schemas.microsoft.com/office/infopath/2007/PartnerControls">
        <TermInfo>
          <TermName>MTVersion</TermName>
          <TermId>be1a01c1-144e-4a9e-a6ba-ae5eb384c8da</TermId>
        </TermInfo>
      </Terms>
    </ha2b5682061b490983f9b393e3ec2c62>
    <he3a18a126d0476385d54c359e99625f xmlns="63bcab3b-0052-4e5f-a75c-991d8e84c9b6">
      <Terms xmlns="http://schemas.microsoft.com/office/infopath/2007/PartnerControls"/>
    </he3a18a126d0476385d54c359e99625f>
    <TaxCatchAll xmlns="63bcab3b-0052-4e5f-a75c-991d8e84c9b6">
      <Value>1</Value>
    </TaxCatchAll>
    <ShortComment xmlns="http://schemas.microsoft.com/sharepoint/v3/fields" xsi:nil="true"/>
    <_dlc_DocId xmlns="63bcab3b-0052-4e5f-a75c-991d8e84c9b6">354673-343905873-10</_dlc_DocId>
    <_dlc_DocIdUrl xmlns="63bcab3b-0052-4e5f-a75c-991d8e84c9b6">
      <Url>https://mtdivision.sharepoint.com/sites/354673/_layouts/15/DocIdRedir.aspx?ID=354673-343905873-10</Url>
      <Description>354673-343905873-10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74152D-0C7D-4D0F-A8D0-EB567CE5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cab3b-0052-4e5f-a75c-991d8e84c9b6"/>
    <ds:schemaRef ds:uri="http://schemas.microsoft.com/sharepoint/v3/fields"/>
    <ds:schemaRef ds:uri="826d9bf5-8b43-4bbf-a6ed-37453cf70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FFE88-E88E-491B-9178-FCF665519E1F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431D2B58-D0F8-4C85-9CB8-F9596E67EE4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3bcab3b-0052-4e5f-a75c-991d8e84c9b6"/>
    <ds:schemaRef ds:uri="http://purl.org/dc/terms/"/>
    <ds:schemaRef ds:uri="http://schemas.microsoft.com/office/infopath/2007/PartnerControls"/>
    <ds:schemaRef ds:uri="826d9bf5-8b43-4bbf-a6ed-37453cf70622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71C2FD-90E4-4A2D-A015-8A7642CFE2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FF3872-7595-4C1B-B80A-ABAEC8ECD7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6925</Words>
  <Characters>39271</Characters>
  <Application>Microsoft Office Word</Application>
  <DocSecurity>0</DocSecurity>
  <Lines>1785</Lines>
  <Paragraphs>1248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Bédard</dc:creator>
  <cp:keywords/>
  <dc:description/>
  <cp:lastModifiedBy>Antonia Nassopoulou</cp:lastModifiedBy>
  <cp:revision>81</cp:revision>
  <dcterms:created xsi:type="dcterms:W3CDTF">2022-09-14T18:08:00Z</dcterms:created>
  <dcterms:modified xsi:type="dcterms:W3CDTF">2022-11-02T20:39:00Z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0x010100D70E02E466E7F643B241781DB3B2EE240007C813021D13814A88D85249A7DD8828</vt:lpwstr>
  </property>
  <property fmtid="{D5CDD505-2E9C-101B-9397-08002B2CF9AE}" pid="3" name="ContentType">
    <vt:lpwstr>DMS Document</vt:lpwstr>
  </property>
  <property fmtid="{D5CDD505-2E9C-101B-9397-08002B2CF9AE}" pid="4" name="ClientName">
    <vt:lpwstr>Interfor Corporation</vt:lpwstr>
  </property>
  <property fmtid="{D5CDD505-2E9C-101B-9397-08002B2CF9AE}" pid="5" name="ClientCode">
    <vt:lpwstr>161076</vt:lpwstr>
  </property>
  <property fmtid="{D5CDD505-2E9C-101B-9397-08002B2CF9AE}" pid="6" name="MatterName">
    <vt:lpwstr>General</vt:lpwstr>
  </property>
  <property fmtid="{D5CDD505-2E9C-101B-9397-08002B2CF9AE}" pid="7" name="MatterCode">
    <vt:lpwstr>354673</vt:lpwstr>
  </property>
  <property fmtid="{D5CDD505-2E9C-101B-9397-08002B2CF9AE}" pid="8" name="ha2b5682061b490983f9b393e3ec2c62">
    <vt:lpwstr>MTVersion|be1a01c1-144e-4a9e-a6ba-ae5eb384c8da</vt:lpwstr>
  </property>
  <property fmtid="{D5CDD505-2E9C-101B-9397-08002B2CF9AE}" pid="9" name="MTDivision">
    <vt:lpwstr>1;#MTVersion|be1a01c1-144e-4a9e-a6ba-ae5eb384c8da</vt:lpwstr>
  </property>
  <property fmtid="{D5CDD505-2E9C-101B-9397-08002B2CF9AE}" pid="10" name="Created">
    <vt:lpwstr>2022-01-26T21:09:00+00:00</vt:lpwstr>
  </property>
  <property fmtid="{D5CDD505-2E9C-101B-9397-08002B2CF9AE}" pid="11" name="DocumentType">
    <vt:lpwstr/>
  </property>
  <property fmtid="{D5CDD505-2E9C-101B-9397-08002B2CF9AE}" pid="12" name="_dlc_DocIdItemGuid">
    <vt:lpwstr>242f7901-24b6-499d-8f08-7f649ea0f02a</vt:lpwstr>
  </property>
  <property fmtid="{D5CDD505-2E9C-101B-9397-08002B2CF9AE}" pid="13" name="CorrespondenceType">
    <vt:lpwstr/>
  </property>
  <property fmtid="{D5CDD505-2E9C-101B-9397-08002B2CF9AE}" pid="14" name="lc8978f5886f422580eaf0f00da6eb6f">
    <vt:lpwstr/>
  </property>
  <property fmtid="{D5CDD505-2E9C-101B-9397-08002B2CF9AE}" pid="15" name="Modified">
    <vt:lpwstr>2022-01-31T11:51:00+00:00</vt:lpwstr>
  </property>
  <property fmtid="{D5CDD505-2E9C-101B-9397-08002B2CF9AE}" pid="16" name="DocumentNumber">
    <vt:lpwstr>44206436</vt:lpwstr>
  </property>
  <property fmtid="{D5CDD505-2E9C-101B-9397-08002B2CF9AE}" pid="17" name="DocumentVersion">
    <vt:lpwstr>4</vt:lpwstr>
  </property>
  <property fmtid="{D5CDD505-2E9C-101B-9397-08002B2CF9AE}" pid="18" name="ClientNumber">
    <vt:lpwstr>161076</vt:lpwstr>
  </property>
  <property fmtid="{D5CDD505-2E9C-101B-9397-08002B2CF9AE}" pid="19" name="MatterNumber">
    <vt:lpwstr>354673</vt:lpwstr>
  </property>
  <property fmtid="{D5CDD505-2E9C-101B-9397-08002B2CF9AE}" pid="20" name="DatabaseName">
    <vt:lpwstr>MTDOCS</vt:lpwstr>
  </property>
  <property fmtid="{D5CDD505-2E9C-101B-9397-08002B2CF9AE}" pid="21" name="TypistName">
    <vt:lpwstr>JLAMBERTROY</vt:lpwstr>
  </property>
  <property fmtid="{D5CDD505-2E9C-101B-9397-08002B2CF9AE}" pid="22" name="AuthorName">
    <vt:lpwstr>GGIGUERE</vt:lpwstr>
  </property>
  <property fmtid="{D5CDD505-2E9C-101B-9397-08002B2CF9AE}" pid="23" name="InUseBy">
    <vt:lpwstr>JLAMBERTROY</vt:lpwstr>
  </property>
  <property fmtid="{D5CDD505-2E9C-101B-9397-08002B2CF9AE}" pid="24" name="EditDate">
    <vt:lpwstr>03/15/22 21:57:55</vt:lpwstr>
  </property>
  <property fmtid="{D5CDD505-2E9C-101B-9397-08002B2CF9AE}" pid="25" name="EditTime">
    <vt:lpwstr/>
  </property>
  <property fmtid="{D5CDD505-2E9C-101B-9397-08002B2CF9AE}" pid="26" name="IsiManageWork">
    <vt:lpwstr>True</vt:lpwstr>
  </property>
</Properties>
</file>